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468F2" w14:textId="77777777" w:rsidR="00DF6C94" w:rsidRPr="003F30E4" w:rsidRDefault="003F30E4" w:rsidP="003F30E4">
      <w:pPr>
        <w:spacing w:after="0" w:line="248" w:lineRule="auto"/>
        <w:ind w:right="685"/>
        <w:jc w:val="both"/>
        <w:rPr>
          <w:rFonts w:ascii="Gill Sans MT" w:eastAsia="Arial" w:hAnsi="Gill Sans MT" w:cstheme="minorHAnsi"/>
          <w:b/>
          <w:sz w:val="32"/>
          <w:szCs w:val="32"/>
          <w:lang w:eastAsia="en-GB"/>
        </w:rPr>
      </w:pPr>
      <w:r w:rsidRPr="003F30E4">
        <w:rPr>
          <w:rFonts w:ascii="Gill Sans MT" w:eastAsia="Arial" w:hAnsi="Gill Sans MT" w:cstheme="minorHAnsi"/>
          <w:b/>
          <w:noProof/>
          <w:sz w:val="32"/>
          <w:szCs w:val="32"/>
          <w:lang w:eastAsia="en-GB"/>
        </w:rPr>
        <w:drawing>
          <wp:anchor distT="0" distB="0" distL="114300" distR="114300" simplePos="0" relativeHeight="251659264" behindDoc="1" locked="0" layoutInCell="1" allowOverlap="1" wp14:anchorId="74A51B49" wp14:editId="7D14A2B9">
            <wp:simplePos x="0" y="0"/>
            <wp:positionH relativeFrom="margin">
              <wp:posOffset>-238125</wp:posOffset>
            </wp:positionH>
            <wp:positionV relativeFrom="margin">
              <wp:posOffset>-361950</wp:posOffset>
            </wp:positionV>
            <wp:extent cx="2782534" cy="13906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N-LEFT-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82534" cy="1390650"/>
                    </a:xfrm>
                    <a:prstGeom prst="rect">
                      <a:avLst/>
                    </a:prstGeom>
                  </pic:spPr>
                </pic:pic>
              </a:graphicData>
            </a:graphic>
            <wp14:sizeRelH relativeFrom="margin">
              <wp14:pctWidth>0</wp14:pctWidth>
            </wp14:sizeRelH>
            <wp14:sizeRelV relativeFrom="margin">
              <wp14:pctHeight>0</wp14:pctHeight>
            </wp14:sizeRelV>
          </wp:anchor>
        </w:drawing>
      </w:r>
    </w:p>
    <w:p w14:paraId="7C5AF423" w14:textId="77777777" w:rsidR="003F30E4" w:rsidRPr="003F30E4" w:rsidRDefault="003F30E4" w:rsidP="003F30E4">
      <w:pPr>
        <w:spacing w:after="0" w:line="248" w:lineRule="auto"/>
        <w:ind w:right="685"/>
        <w:jc w:val="both"/>
        <w:rPr>
          <w:rFonts w:ascii="Gill Sans MT" w:eastAsia="Arial" w:hAnsi="Gill Sans MT" w:cstheme="minorHAnsi"/>
          <w:b/>
          <w:sz w:val="32"/>
          <w:szCs w:val="32"/>
          <w:lang w:eastAsia="en-GB"/>
        </w:rPr>
      </w:pPr>
    </w:p>
    <w:p w14:paraId="4854D5F4" w14:textId="77777777" w:rsidR="003F30E4" w:rsidRPr="003F30E4" w:rsidRDefault="003F30E4" w:rsidP="003F30E4">
      <w:pPr>
        <w:spacing w:after="0" w:line="248" w:lineRule="auto"/>
        <w:ind w:right="685"/>
        <w:jc w:val="both"/>
        <w:rPr>
          <w:rFonts w:ascii="Gill Sans MT" w:eastAsia="Arial" w:hAnsi="Gill Sans MT" w:cstheme="minorHAnsi"/>
          <w:b/>
          <w:sz w:val="32"/>
          <w:szCs w:val="32"/>
          <w:lang w:eastAsia="en-GB"/>
        </w:rPr>
      </w:pPr>
    </w:p>
    <w:p w14:paraId="79A0D990" w14:textId="77777777" w:rsidR="003F30E4" w:rsidRPr="003F30E4" w:rsidRDefault="003F30E4" w:rsidP="003F30E4">
      <w:pPr>
        <w:spacing w:after="0" w:line="248" w:lineRule="auto"/>
        <w:ind w:right="685"/>
        <w:jc w:val="both"/>
        <w:rPr>
          <w:rFonts w:ascii="Gill Sans MT" w:eastAsia="Arial" w:hAnsi="Gill Sans MT" w:cstheme="minorHAnsi"/>
          <w:b/>
          <w:sz w:val="32"/>
          <w:szCs w:val="32"/>
          <w:lang w:eastAsia="en-GB"/>
        </w:rPr>
      </w:pPr>
    </w:p>
    <w:p w14:paraId="2AC7670B" w14:textId="77777777" w:rsidR="0023753D" w:rsidRPr="003F30E4" w:rsidRDefault="0085547A" w:rsidP="003F30E4">
      <w:pPr>
        <w:spacing w:after="0" w:line="248" w:lineRule="auto"/>
        <w:ind w:right="685"/>
        <w:rPr>
          <w:rFonts w:ascii="Gill Sans MT" w:eastAsia="Arial" w:hAnsi="Gill Sans MT" w:cstheme="minorHAnsi"/>
          <w:b/>
          <w:sz w:val="24"/>
          <w:szCs w:val="32"/>
          <w:lang w:eastAsia="en-GB"/>
        </w:rPr>
      </w:pPr>
      <w:r>
        <w:rPr>
          <w:rFonts w:ascii="Gill Sans MT" w:eastAsia="Arial" w:hAnsi="Gill Sans MT" w:cstheme="minorHAnsi"/>
          <w:b/>
          <w:sz w:val="24"/>
          <w:szCs w:val="32"/>
          <w:lang w:eastAsia="en-GB"/>
        </w:rPr>
        <w:t>NORTH MEADOW AND CLATTINGER FARM</w:t>
      </w:r>
      <w:r w:rsidR="0023753D" w:rsidRPr="003F30E4">
        <w:rPr>
          <w:rFonts w:ascii="Gill Sans MT" w:eastAsia="Arial" w:hAnsi="Gill Sans MT" w:cstheme="minorHAnsi"/>
          <w:b/>
          <w:sz w:val="24"/>
          <w:szCs w:val="32"/>
          <w:lang w:eastAsia="en-GB"/>
        </w:rPr>
        <w:t xml:space="preserve"> </w:t>
      </w:r>
      <w:r w:rsidR="001A5361">
        <w:rPr>
          <w:rFonts w:ascii="Gill Sans MT" w:eastAsia="Arial" w:hAnsi="Gill Sans MT" w:cstheme="minorHAnsi"/>
          <w:b/>
          <w:sz w:val="24"/>
          <w:szCs w:val="32"/>
          <w:lang w:eastAsia="en-GB"/>
        </w:rPr>
        <w:t xml:space="preserve">SPECIAL </w:t>
      </w:r>
      <w:r w:rsidR="0023753D" w:rsidRPr="003F30E4">
        <w:rPr>
          <w:rFonts w:ascii="Gill Sans MT" w:eastAsia="Arial" w:hAnsi="Gill Sans MT" w:cstheme="minorHAnsi"/>
          <w:b/>
          <w:sz w:val="24"/>
          <w:szCs w:val="32"/>
          <w:lang w:eastAsia="en-GB"/>
        </w:rPr>
        <w:t>AREA OF CONSERVATION</w:t>
      </w:r>
    </w:p>
    <w:p w14:paraId="3EC8E30B" w14:textId="77777777" w:rsidR="0023753D" w:rsidRPr="003F30E4" w:rsidRDefault="0023753D" w:rsidP="003F30E4">
      <w:pPr>
        <w:spacing w:after="0" w:line="248" w:lineRule="auto"/>
        <w:ind w:right="685"/>
        <w:rPr>
          <w:rFonts w:ascii="Gill Sans MT" w:eastAsia="Arial" w:hAnsi="Gill Sans MT" w:cstheme="minorHAnsi"/>
          <w:b/>
          <w:sz w:val="24"/>
          <w:szCs w:val="32"/>
          <w:lang w:eastAsia="en-GB"/>
        </w:rPr>
      </w:pPr>
      <w:r w:rsidRPr="003F30E4">
        <w:rPr>
          <w:rFonts w:ascii="Gill Sans MT" w:eastAsia="Arial" w:hAnsi="Gill Sans MT" w:cstheme="minorHAnsi"/>
          <w:b/>
          <w:sz w:val="24"/>
          <w:szCs w:val="32"/>
          <w:lang w:eastAsia="en-GB"/>
        </w:rPr>
        <w:t>RECREATIONAL IMPACTS MITIGATION CONTRIBUTION</w:t>
      </w:r>
    </w:p>
    <w:p w14:paraId="3BBAF2DD" w14:textId="77777777" w:rsidR="0023753D" w:rsidRPr="003F30E4" w:rsidRDefault="0023753D" w:rsidP="003F30E4">
      <w:pPr>
        <w:spacing w:after="0" w:line="248" w:lineRule="auto"/>
        <w:ind w:right="685"/>
        <w:rPr>
          <w:rFonts w:ascii="Gill Sans MT" w:eastAsia="Arial" w:hAnsi="Gill Sans MT" w:cstheme="minorHAnsi"/>
          <w:b/>
          <w:sz w:val="24"/>
          <w:szCs w:val="32"/>
          <w:lang w:eastAsia="en-GB"/>
        </w:rPr>
      </w:pPr>
      <w:r w:rsidRPr="003F30E4">
        <w:rPr>
          <w:rFonts w:ascii="Gill Sans MT" w:eastAsia="Arial" w:hAnsi="Gill Sans MT" w:cstheme="minorHAnsi"/>
          <w:b/>
          <w:sz w:val="24"/>
          <w:szCs w:val="32"/>
          <w:lang w:eastAsia="en-GB"/>
        </w:rPr>
        <w:t>S.111</w:t>
      </w:r>
      <w:r w:rsidR="00696726" w:rsidRPr="003F30E4">
        <w:rPr>
          <w:rFonts w:ascii="Gill Sans MT" w:eastAsia="Arial" w:hAnsi="Gill Sans MT" w:cstheme="minorHAnsi"/>
          <w:b/>
          <w:sz w:val="24"/>
          <w:szCs w:val="32"/>
          <w:lang w:eastAsia="en-GB"/>
        </w:rPr>
        <w:t xml:space="preserve"> of LOCAL GOVERNMENT ACT 1972</w:t>
      </w:r>
      <w:r w:rsidRPr="003F30E4">
        <w:rPr>
          <w:rFonts w:ascii="Gill Sans MT" w:eastAsia="Arial" w:hAnsi="Gill Sans MT" w:cstheme="minorHAnsi"/>
          <w:b/>
          <w:sz w:val="24"/>
          <w:szCs w:val="32"/>
          <w:lang w:eastAsia="en-GB"/>
        </w:rPr>
        <w:t xml:space="preserve"> AGREEMENT</w:t>
      </w:r>
    </w:p>
    <w:p w14:paraId="0E03E846" w14:textId="77777777" w:rsidR="0023753D" w:rsidRPr="003F30E4" w:rsidRDefault="0023753D" w:rsidP="003F30E4">
      <w:pPr>
        <w:spacing w:after="0"/>
        <w:rPr>
          <w:rFonts w:ascii="Gill Sans MT" w:hAnsi="Gill Sans MT" w:cstheme="minorHAnsi"/>
          <w:b/>
          <w:sz w:val="24"/>
          <w:szCs w:val="32"/>
        </w:rPr>
      </w:pPr>
      <w:r w:rsidRPr="003F30E4">
        <w:rPr>
          <w:rFonts w:ascii="Gill Sans MT" w:hAnsi="Gill Sans MT" w:cstheme="minorHAnsi"/>
          <w:b/>
          <w:sz w:val="24"/>
          <w:szCs w:val="32"/>
        </w:rPr>
        <w:t xml:space="preserve">GUIDANCE NOTES </w:t>
      </w:r>
    </w:p>
    <w:p w14:paraId="46F26CB1" w14:textId="77777777" w:rsidR="00105FA2" w:rsidRPr="003F30E4" w:rsidRDefault="00105FA2" w:rsidP="003F30E4">
      <w:pPr>
        <w:spacing w:after="0"/>
        <w:rPr>
          <w:rFonts w:ascii="Gill Sans MT" w:hAnsi="Gill Sans MT" w:cstheme="minorHAnsi"/>
          <w:sz w:val="24"/>
          <w:szCs w:val="24"/>
        </w:rPr>
      </w:pPr>
    </w:p>
    <w:p w14:paraId="5D40A308" w14:textId="77777777" w:rsidR="00C30FEE" w:rsidRPr="003F30E4" w:rsidRDefault="00C30FEE" w:rsidP="003F30E4">
      <w:pPr>
        <w:spacing w:after="0"/>
        <w:rPr>
          <w:rFonts w:ascii="Gill Sans MT" w:hAnsi="Gill Sans MT" w:cstheme="minorHAnsi"/>
          <w:b/>
        </w:rPr>
      </w:pPr>
      <w:r w:rsidRPr="003F30E4">
        <w:rPr>
          <w:rFonts w:ascii="Gill Sans MT" w:hAnsi="Gill Sans MT" w:cstheme="minorHAnsi"/>
          <w:b/>
        </w:rPr>
        <w:t>Summary</w:t>
      </w:r>
    </w:p>
    <w:p w14:paraId="13BB56DB" w14:textId="77777777" w:rsidR="00C30FEE" w:rsidRPr="003F30E4" w:rsidRDefault="00C30FEE" w:rsidP="003F30E4">
      <w:pPr>
        <w:spacing w:after="0"/>
        <w:rPr>
          <w:rFonts w:ascii="Gill Sans MT" w:hAnsi="Gill Sans MT" w:cstheme="minorHAnsi"/>
        </w:rPr>
      </w:pPr>
      <w:r w:rsidRPr="003F30E4">
        <w:rPr>
          <w:rFonts w:ascii="Gill Sans MT" w:hAnsi="Gill Sans MT" w:cstheme="minorHAnsi"/>
        </w:rPr>
        <w:t>This note provides guidance on completing a s.111</w:t>
      </w:r>
      <w:r w:rsidR="00696726" w:rsidRPr="003F30E4">
        <w:rPr>
          <w:rFonts w:ascii="Gill Sans MT" w:hAnsi="Gill Sans MT" w:cstheme="minorHAnsi"/>
        </w:rPr>
        <w:t xml:space="preserve"> of the Local Government Act 1972</w:t>
      </w:r>
      <w:r w:rsidRPr="003F30E4">
        <w:rPr>
          <w:rFonts w:ascii="Gill Sans MT" w:hAnsi="Gill Sans MT" w:cstheme="minorHAnsi"/>
        </w:rPr>
        <w:t xml:space="preserve"> </w:t>
      </w:r>
      <w:r w:rsidR="00696726" w:rsidRPr="003F30E4">
        <w:rPr>
          <w:rFonts w:ascii="Gill Sans MT" w:hAnsi="Gill Sans MT" w:cstheme="minorHAnsi"/>
        </w:rPr>
        <w:t>A</w:t>
      </w:r>
      <w:r w:rsidRPr="003F30E4">
        <w:rPr>
          <w:rFonts w:ascii="Gill Sans MT" w:hAnsi="Gill Sans MT" w:cstheme="minorHAnsi"/>
        </w:rPr>
        <w:t xml:space="preserve">greement to ensure that the </w:t>
      </w:r>
      <w:r w:rsidR="00205A83" w:rsidRPr="003F30E4">
        <w:rPr>
          <w:rFonts w:ascii="Gill Sans MT" w:hAnsi="Gill Sans MT" w:cstheme="minorHAnsi"/>
        </w:rPr>
        <w:t xml:space="preserve">appropriate mitigation is </w:t>
      </w:r>
      <w:r w:rsidR="00105FA2" w:rsidRPr="003F30E4">
        <w:rPr>
          <w:rFonts w:ascii="Gill Sans MT" w:hAnsi="Gill Sans MT" w:cstheme="minorHAnsi"/>
        </w:rPr>
        <w:t>secured to prevent</w:t>
      </w:r>
      <w:r w:rsidR="00205A83" w:rsidRPr="003F30E4">
        <w:rPr>
          <w:rFonts w:ascii="Gill Sans MT" w:hAnsi="Gill Sans MT" w:cstheme="minorHAnsi"/>
        </w:rPr>
        <w:t xml:space="preserve"> new developments caus</w:t>
      </w:r>
      <w:r w:rsidR="00105FA2" w:rsidRPr="003F30E4">
        <w:rPr>
          <w:rFonts w:ascii="Gill Sans MT" w:hAnsi="Gill Sans MT" w:cstheme="minorHAnsi"/>
        </w:rPr>
        <w:t>ing</w:t>
      </w:r>
      <w:r w:rsidR="00205A83" w:rsidRPr="003F30E4">
        <w:rPr>
          <w:rFonts w:ascii="Gill Sans MT" w:hAnsi="Gill Sans MT" w:cstheme="minorHAnsi"/>
        </w:rPr>
        <w:t xml:space="preserve"> additional recreational disturbance to the biodiver</w:t>
      </w:r>
      <w:r w:rsidR="001A5361">
        <w:rPr>
          <w:rFonts w:ascii="Gill Sans MT" w:hAnsi="Gill Sans MT" w:cstheme="minorHAnsi"/>
        </w:rPr>
        <w:t xml:space="preserve">sity of the North Meadow and </w:t>
      </w:r>
      <w:proofErr w:type="spellStart"/>
      <w:r w:rsidR="001A5361">
        <w:rPr>
          <w:rFonts w:ascii="Gill Sans MT" w:hAnsi="Gill Sans MT" w:cstheme="minorHAnsi"/>
        </w:rPr>
        <w:t>Clattinger</w:t>
      </w:r>
      <w:proofErr w:type="spellEnd"/>
      <w:r w:rsidR="001A5361">
        <w:rPr>
          <w:rFonts w:ascii="Gill Sans MT" w:hAnsi="Gill Sans MT" w:cstheme="minorHAnsi"/>
        </w:rPr>
        <w:t xml:space="preserve"> Farm Special Area of Conservation (SAC)</w:t>
      </w:r>
      <w:r w:rsidR="00205A83" w:rsidRPr="003F30E4">
        <w:rPr>
          <w:rFonts w:ascii="Gill Sans MT" w:hAnsi="Gill Sans MT" w:cstheme="minorHAnsi"/>
        </w:rPr>
        <w:t>.</w:t>
      </w:r>
    </w:p>
    <w:p w14:paraId="14FFC715" w14:textId="77777777" w:rsidR="00105FA2" w:rsidRPr="003F30E4" w:rsidRDefault="00105FA2" w:rsidP="003F30E4">
      <w:pPr>
        <w:spacing w:after="0"/>
        <w:rPr>
          <w:rFonts w:ascii="Gill Sans MT" w:hAnsi="Gill Sans MT" w:cstheme="minorHAnsi"/>
        </w:rPr>
      </w:pPr>
    </w:p>
    <w:p w14:paraId="33853AF5" w14:textId="77777777" w:rsidR="00C30FEE" w:rsidRPr="00103A83" w:rsidRDefault="00C30FEE" w:rsidP="003F30E4">
      <w:pPr>
        <w:spacing w:after="0"/>
        <w:rPr>
          <w:rFonts w:ascii="Gill Sans MT" w:hAnsi="Gill Sans MT" w:cstheme="minorHAnsi"/>
          <w:b/>
          <w:sz w:val="24"/>
          <w:u w:val="single"/>
        </w:rPr>
      </w:pPr>
      <w:r w:rsidRPr="00103A83">
        <w:rPr>
          <w:rFonts w:ascii="Gill Sans MT" w:hAnsi="Gill Sans MT" w:cstheme="minorHAnsi"/>
          <w:b/>
          <w:sz w:val="24"/>
          <w:u w:val="single"/>
        </w:rPr>
        <w:t>Background</w:t>
      </w:r>
    </w:p>
    <w:p w14:paraId="1933AA0A" w14:textId="77777777" w:rsidR="003A3B8D" w:rsidRPr="003A3B8D" w:rsidRDefault="003A3B8D" w:rsidP="003F30E4">
      <w:pPr>
        <w:spacing w:after="0"/>
        <w:rPr>
          <w:rFonts w:ascii="Gill Sans MT" w:hAnsi="Gill Sans MT" w:cstheme="minorHAnsi"/>
          <w:b/>
          <w:color w:val="FF0000"/>
          <w:sz w:val="24"/>
          <w:u w:val="single"/>
        </w:rPr>
      </w:pPr>
    </w:p>
    <w:p w14:paraId="6E0EFDB9" w14:textId="77777777" w:rsidR="00C30FEE" w:rsidRPr="003F30E4" w:rsidRDefault="0085547A" w:rsidP="003F30E4">
      <w:pPr>
        <w:spacing w:after="0"/>
        <w:rPr>
          <w:rFonts w:ascii="Gill Sans MT" w:hAnsi="Gill Sans MT" w:cstheme="minorHAnsi"/>
        </w:rPr>
      </w:pPr>
      <w:r>
        <w:rPr>
          <w:rFonts w:ascii="Gill Sans MT" w:hAnsi="Gill Sans MT" w:cstheme="minorHAnsi"/>
        </w:rPr>
        <w:t xml:space="preserve">North Meadow and </w:t>
      </w:r>
      <w:proofErr w:type="spellStart"/>
      <w:r>
        <w:rPr>
          <w:rFonts w:ascii="Gill Sans MT" w:hAnsi="Gill Sans MT" w:cstheme="minorHAnsi"/>
        </w:rPr>
        <w:t>Clattinger</w:t>
      </w:r>
      <w:proofErr w:type="spellEnd"/>
      <w:r>
        <w:rPr>
          <w:rFonts w:ascii="Gill Sans MT" w:hAnsi="Gill Sans MT" w:cstheme="minorHAnsi"/>
        </w:rPr>
        <w:t xml:space="preserve"> Farm</w:t>
      </w:r>
      <w:r w:rsidRPr="003F30E4">
        <w:rPr>
          <w:rStyle w:val="FootnoteReference"/>
          <w:rFonts w:ascii="Gill Sans MT" w:hAnsi="Gill Sans MT" w:cstheme="minorHAnsi"/>
        </w:rPr>
        <w:footnoteReference w:id="1"/>
      </w:r>
      <w:r>
        <w:rPr>
          <w:rFonts w:ascii="Gill Sans MT" w:hAnsi="Gill Sans MT" w:cstheme="minorHAnsi"/>
        </w:rPr>
        <w:t xml:space="preserve"> are </w:t>
      </w:r>
      <w:r w:rsidR="00C30FEE" w:rsidRPr="003F30E4">
        <w:rPr>
          <w:rFonts w:ascii="Gill Sans MT" w:hAnsi="Gill Sans MT" w:cstheme="minorHAnsi"/>
        </w:rPr>
        <w:t xml:space="preserve">internationally important </w:t>
      </w:r>
      <w:r>
        <w:rPr>
          <w:rFonts w:ascii="Gill Sans MT" w:hAnsi="Gill Sans MT" w:cstheme="minorHAnsi"/>
        </w:rPr>
        <w:t xml:space="preserve">for </w:t>
      </w:r>
      <w:r w:rsidR="00C30FEE" w:rsidRPr="003F30E4">
        <w:rPr>
          <w:rFonts w:ascii="Gill Sans MT" w:hAnsi="Gill Sans MT" w:cstheme="minorHAnsi"/>
        </w:rPr>
        <w:t xml:space="preserve">biodiversity </w:t>
      </w:r>
      <w:r>
        <w:rPr>
          <w:rFonts w:ascii="Gill Sans MT" w:hAnsi="Gill Sans MT" w:cstheme="minorHAnsi"/>
        </w:rPr>
        <w:t xml:space="preserve">and are </w:t>
      </w:r>
      <w:r w:rsidR="00C30FEE" w:rsidRPr="003F30E4">
        <w:rPr>
          <w:rFonts w:ascii="Gill Sans MT" w:hAnsi="Gill Sans MT" w:cstheme="minorHAnsi"/>
        </w:rPr>
        <w:t>designated as a Special Area o</w:t>
      </w:r>
      <w:r>
        <w:rPr>
          <w:rFonts w:ascii="Gill Sans MT" w:hAnsi="Gill Sans MT" w:cstheme="minorHAnsi"/>
        </w:rPr>
        <w:t>f Conservation or Habitats site.  Only the North Meadow element of the SAC is relevant to this guidance note.  North Meadow supports important meadow species, for example the snake’s head fritillaries</w:t>
      </w:r>
      <w:r w:rsidR="00C30FEE" w:rsidRPr="003F30E4">
        <w:rPr>
          <w:rFonts w:ascii="Gill Sans MT" w:hAnsi="Gill Sans MT" w:cstheme="minorHAnsi"/>
        </w:rPr>
        <w:t xml:space="preserve"> and is also very popular with visitors.  However</w:t>
      </w:r>
      <w:r w:rsidR="00696726" w:rsidRPr="003F30E4">
        <w:rPr>
          <w:rFonts w:ascii="Gill Sans MT" w:hAnsi="Gill Sans MT" w:cstheme="minorHAnsi"/>
        </w:rPr>
        <w:t>,</w:t>
      </w:r>
      <w:r w:rsidR="00C30FEE" w:rsidRPr="003F30E4">
        <w:rPr>
          <w:rFonts w:ascii="Gill Sans MT" w:hAnsi="Gill Sans MT" w:cstheme="minorHAnsi"/>
        </w:rPr>
        <w:t xml:space="preserve"> the high number of visitors is impacting on the site and damaging the wildlife</w:t>
      </w:r>
      <w:r w:rsidR="00696726" w:rsidRPr="003F30E4">
        <w:rPr>
          <w:rFonts w:ascii="Gill Sans MT" w:hAnsi="Gill Sans MT" w:cstheme="minorHAnsi"/>
        </w:rPr>
        <w:t>.</w:t>
      </w:r>
      <w:r w:rsidR="00C30FEE" w:rsidRPr="003F30E4">
        <w:rPr>
          <w:rFonts w:ascii="Gill Sans MT" w:hAnsi="Gill Sans MT" w:cstheme="minorHAnsi"/>
        </w:rPr>
        <w:t xml:space="preserve"> </w:t>
      </w:r>
      <w:r w:rsidR="00696726" w:rsidRPr="003F30E4">
        <w:rPr>
          <w:rFonts w:ascii="Gill Sans MT" w:hAnsi="Gill Sans MT" w:cstheme="minorHAnsi"/>
        </w:rPr>
        <w:t>I</w:t>
      </w:r>
      <w:r w:rsidR="00C30FEE" w:rsidRPr="003F30E4">
        <w:rPr>
          <w:rFonts w:ascii="Gill Sans MT" w:hAnsi="Gill Sans MT" w:cstheme="minorHAnsi"/>
        </w:rPr>
        <w:t xml:space="preserve">t is crucial that steps are taken to protect the site and to reduce the recreational impacts. </w:t>
      </w:r>
    </w:p>
    <w:p w14:paraId="502895F8" w14:textId="77777777" w:rsidR="0085547A" w:rsidRDefault="0085547A" w:rsidP="003F30E4">
      <w:pPr>
        <w:spacing w:after="0"/>
        <w:rPr>
          <w:rFonts w:ascii="Gill Sans MT" w:hAnsi="Gill Sans MT" w:cstheme="minorHAnsi"/>
          <w:b/>
        </w:rPr>
      </w:pPr>
    </w:p>
    <w:p w14:paraId="400E3D5C" w14:textId="77777777" w:rsidR="00105FA2" w:rsidRPr="003F30E4" w:rsidRDefault="00105FA2" w:rsidP="003F30E4">
      <w:pPr>
        <w:spacing w:after="0"/>
        <w:rPr>
          <w:rFonts w:ascii="Gill Sans MT" w:hAnsi="Gill Sans MT" w:cstheme="minorHAnsi"/>
          <w:b/>
        </w:rPr>
      </w:pPr>
      <w:r w:rsidRPr="003F30E4">
        <w:rPr>
          <w:rFonts w:ascii="Gill Sans MT" w:hAnsi="Gill Sans MT" w:cstheme="minorHAnsi"/>
          <w:b/>
        </w:rPr>
        <w:t>Recreational Mitigation Strategy</w:t>
      </w:r>
    </w:p>
    <w:p w14:paraId="7D54CC55" w14:textId="77777777" w:rsidR="007A4B20" w:rsidRDefault="00C30FEE" w:rsidP="003F30E4">
      <w:pPr>
        <w:spacing w:after="0"/>
        <w:rPr>
          <w:rFonts w:ascii="Gill Sans MT" w:hAnsi="Gill Sans MT" w:cstheme="minorHAnsi"/>
        </w:rPr>
      </w:pPr>
      <w:r w:rsidRPr="003F30E4">
        <w:rPr>
          <w:rFonts w:ascii="Gill Sans MT" w:hAnsi="Gill Sans MT" w:cstheme="minorHAnsi"/>
        </w:rPr>
        <w:t xml:space="preserve">Cotswold District Council is legally obliged under the </w:t>
      </w:r>
      <w:r w:rsidRPr="00034CA1">
        <w:rPr>
          <w:rFonts w:ascii="Gill Sans MT" w:hAnsi="Gill Sans MT" w:cstheme="minorHAnsi"/>
        </w:rPr>
        <w:t>Conservation of Habitats and Species Regulations 2017</w:t>
      </w:r>
      <w:r w:rsidR="003F30E4" w:rsidRPr="00034CA1">
        <w:rPr>
          <w:rStyle w:val="FootnoteReference"/>
          <w:rFonts w:ascii="Gill Sans MT" w:eastAsia="Times New Roman" w:hAnsi="Gill Sans MT" w:cstheme="minorHAnsi"/>
          <w:lang w:eastAsia="en-GB"/>
        </w:rPr>
        <w:footnoteReference w:id="2"/>
      </w:r>
      <w:r w:rsidR="00025FF2" w:rsidRPr="00034CA1">
        <w:rPr>
          <w:rFonts w:ascii="Gill Sans MT" w:eastAsia="Times New Roman" w:hAnsi="Gill Sans MT" w:cstheme="minorHAnsi"/>
          <w:lang w:eastAsia="en-GB"/>
        </w:rPr>
        <w:t xml:space="preserve"> </w:t>
      </w:r>
      <w:r w:rsidR="00025FF2" w:rsidRPr="00034CA1">
        <w:rPr>
          <w:rFonts w:ascii="Gill Sans MT" w:hAnsi="Gill Sans MT" w:cstheme="minorHAnsi"/>
        </w:rPr>
        <w:t xml:space="preserve">(as amended) </w:t>
      </w:r>
      <w:r w:rsidRPr="00034CA1">
        <w:rPr>
          <w:rFonts w:ascii="Gill Sans MT" w:hAnsi="Gill Sans MT" w:cstheme="minorHAnsi"/>
        </w:rPr>
        <w:t xml:space="preserve">to consider whether any project or proposal, including planning applications would affect the biodiversity of the </w:t>
      </w:r>
      <w:r w:rsidR="0085547A" w:rsidRPr="00034CA1">
        <w:rPr>
          <w:rFonts w:ascii="Gill Sans MT" w:hAnsi="Gill Sans MT" w:cstheme="minorHAnsi"/>
        </w:rPr>
        <w:t>North Meadow</w:t>
      </w:r>
      <w:r w:rsidR="00025FF2" w:rsidRPr="00034CA1">
        <w:rPr>
          <w:rFonts w:ascii="Gill Sans MT" w:hAnsi="Gill Sans MT" w:cstheme="minorHAnsi"/>
        </w:rPr>
        <w:t xml:space="preserve"> SAC</w:t>
      </w:r>
      <w:r w:rsidRPr="00034CA1">
        <w:rPr>
          <w:rFonts w:ascii="Gill Sans MT" w:hAnsi="Gill Sans MT" w:cstheme="minorHAnsi"/>
        </w:rPr>
        <w:t xml:space="preserve">.  We have worked with our partners, including other adjacent Local Authorities and Natural England to develop </w:t>
      </w:r>
      <w:r w:rsidR="001A5364" w:rsidRPr="00034CA1">
        <w:rPr>
          <w:rFonts w:ascii="Gill Sans MT" w:hAnsi="Gill Sans MT" w:cstheme="minorHAnsi"/>
        </w:rPr>
        <w:t xml:space="preserve">the </w:t>
      </w:r>
      <w:r w:rsidR="0085547A" w:rsidRPr="00034CA1">
        <w:rPr>
          <w:rFonts w:ascii="Gill Sans MT" w:hAnsi="Gill Sans MT" w:cstheme="minorHAnsi"/>
        </w:rPr>
        <w:t xml:space="preserve">North Meadow and </w:t>
      </w:r>
      <w:proofErr w:type="spellStart"/>
      <w:r w:rsidR="0085547A" w:rsidRPr="00034CA1">
        <w:rPr>
          <w:rFonts w:ascii="Gill Sans MT" w:hAnsi="Gill Sans MT" w:cstheme="minorHAnsi"/>
        </w:rPr>
        <w:t>Clattinger</w:t>
      </w:r>
      <w:proofErr w:type="spellEnd"/>
      <w:r w:rsidR="0085547A" w:rsidRPr="00034CA1">
        <w:rPr>
          <w:rFonts w:ascii="Gill Sans MT" w:hAnsi="Gill Sans MT" w:cstheme="minorHAnsi"/>
        </w:rPr>
        <w:t xml:space="preserve"> Farm</w:t>
      </w:r>
      <w:r w:rsidR="001A5364" w:rsidRPr="00034CA1">
        <w:rPr>
          <w:rFonts w:ascii="Gill Sans MT" w:hAnsi="Gill Sans MT" w:cstheme="minorHAnsi"/>
        </w:rPr>
        <w:t xml:space="preserve"> SAC Recreation Mitigation Strategy (</w:t>
      </w:r>
      <w:r w:rsidR="0085547A" w:rsidRPr="00034CA1">
        <w:rPr>
          <w:rFonts w:ascii="Gill Sans MT" w:hAnsi="Gill Sans MT" w:cstheme="minorHAnsi"/>
        </w:rPr>
        <w:t>2023</w:t>
      </w:r>
      <w:r w:rsidR="001A5364" w:rsidRPr="00034CA1">
        <w:rPr>
          <w:rFonts w:ascii="Gill Sans MT" w:hAnsi="Gill Sans MT" w:cstheme="minorHAnsi"/>
        </w:rPr>
        <w:t>)</w:t>
      </w:r>
    </w:p>
    <w:p w14:paraId="392FD7E2" w14:textId="77777777" w:rsidR="00C30FEE" w:rsidRPr="007A4B20" w:rsidRDefault="007A4B20" w:rsidP="003F30E4">
      <w:pPr>
        <w:spacing w:after="0"/>
        <w:rPr>
          <w:rFonts w:ascii="Gill Sans MT" w:hAnsi="Gill Sans MT" w:cstheme="minorHAnsi"/>
          <w:b/>
        </w:rPr>
      </w:pPr>
      <w:r>
        <w:rPr>
          <w:rFonts w:ascii="Gill Sans MT" w:hAnsi="Gill Sans MT" w:cstheme="minorHAnsi"/>
        </w:rPr>
        <w:t>T</w:t>
      </w:r>
      <w:r w:rsidR="00C30FEE" w:rsidRPr="003F30E4">
        <w:rPr>
          <w:rFonts w:ascii="Gill Sans MT" w:hAnsi="Gill Sans MT" w:cstheme="minorHAnsi"/>
        </w:rPr>
        <w:t xml:space="preserve">his </w:t>
      </w:r>
      <w:proofErr w:type="gramStart"/>
      <w:r w:rsidR="00C30FEE" w:rsidRPr="003F30E4">
        <w:rPr>
          <w:rFonts w:ascii="Gill Sans MT" w:hAnsi="Gill Sans MT" w:cstheme="minorHAnsi"/>
        </w:rPr>
        <w:t xml:space="preserve">includes </w:t>
      </w:r>
      <w:r w:rsidRPr="00325731">
        <w:rPr>
          <w:rFonts w:ascii="Gill Sans MT" w:hAnsi="Gill Sans MT" w:cstheme="minorHAnsi"/>
        </w:rPr>
        <w:t xml:space="preserve"> –</w:t>
      </w:r>
      <w:proofErr w:type="gramEnd"/>
      <w:r w:rsidRPr="00325731">
        <w:rPr>
          <w:rFonts w:ascii="Gill Sans MT" w:hAnsi="Gill Sans MT" w:cstheme="minorHAnsi"/>
        </w:rPr>
        <w:t xml:space="preserve">  </w:t>
      </w:r>
    </w:p>
    <w:p w14:paraId="7B79CE71" w14:textId="77777777" w:rsidR="00C30FEE" w:rsidRPr="003F30E4" w:rsidRDefault="00C30FEE" w:rsidP="003F30E4">
      <w:pPr>
        <w:pStyle w:val="ListParagraph"/>
        <w:numPr>
          <w:ilvl w:val="0"/>
          <w:numId w:val="2"/>
        </w:numPr>
        <w:spacing w:after="0"/>
        <w:rPr>
          <w:rFonts w:ascii="Gill Sans MT" w:hAnsi="Gill Sans MT" w:cstheme="minorHAnsi"/>
        </w:rPr>
      </w:pPr>
      <w:r w:rsidRPr="003F30E4">
        <w:rPr>
          <w:rFonts w:ascii="Gill Sans MT" w:hAnsi="Gill Sans MT" w:cstheme="minorHAnsi"/>
        </w:rPr>
        <w:t xml:space="preserve">an analysis of where visitors to the site come from, </w:t>
      </w:r>
    </w:p>
    <w:p w14:paraId="0AF1C0FC" w14:textId="77777777" w:rsidR="00C30FEE" w:rsidRPr="003F30E4" w:rsidRDefault="00C30FEE" w:rsidP="003F30E4">
      <w:pPr>
        <w:pStyle w:val="ListParagraph"/>
        <w:numPr>
          <w:ilvl w:val="0"/>
          <w:numId w:val="2"/>
        </w:numPr>
        <w:spacing w:after="0"/>
        <w:rPr>
          <w:rFonts w:ascii="Gill Sans MT" w:hAnsi="Gill Sans MT" w:cstheme="minorHAnsi"/>
        </w:rPr>
      </w:pPr>
      <w:r w:rsidRPr="003F30E4">
        <w:rPr>
          <w:rFonts w:ascii="Gill Sans MT" w:hAnsi="Gill Sans MT" w:cstheme="minorHAnsi"/>
        </w:rPr>
        <w:t xml:space="preserve">the types of measures necessary to mitigate the impacts. The measures are divided into </w:t>
      </w:r>
    </w:p>
    <w:p w14:paraId="778547CE" w14:textId="77777777" w:rsidR="00C30FEE" w:rsidRPr="003F30E4" w:rsidRDefault="00C30FEE" w:rsidP="003F30E4">
      <w:pPr>
        <w:pStyle w:val="ListParagraph"/>
        <w:numPr>
          <w:ilvl w:val="1"/>
          <w:numId w:val="2"/>
        </w:numPr>
        <w:spacing w:after="0"/>
        <w:rPr>
          <w:rFonts w:ascii="Gill Sans MT" w:hAnsi="Gill Sans MT" w:cstheme="minorHAnsi"/>
        </w:rPr>
      </w:pPr>
      <w:r w:rsidRPr="003F30E4">
        <w:rPr>
          <w:rFonts w:ascii="Gill Sans MT" w:hAnsi="Gill Sans MT" w:cstheme="minorHAnsi"/>
        </w:rPr>
        <w:t xml:space="preserve">on-site measures, e.g. rangers, signage </w:t>
      </w:r>
    </w:p>
    <w:p w14:paraId="4F2095E2" w14:textId="77777777" w:rsidR="00C30FEE" w:rsidRPr="003F30E4" w:rsidRDefault="00C30FEE" w:rsidP="003F30E4">
      <w:pPr>
        <w:pStyle w:val="ListParagraph"/>
        <w:numPr>
          <w:ilvl w:val="1"/>
          <w:numId w:val="2"/>
        </w:numPr>
        <w:spacing w:after="0"/>
        <w:rPr>
          <w:rFonts w:ascii="Gill Sans MT" w:hAnsi="Gill Sans MT" w:cstheme="minorHAnsi"/>
        </w:rPr>
      </w:pPr>
      <w:r w:rsidRPr="003F30E4">
        <w:rPr>
          <w:rFonts w:ascii="Gill Sans MT" w:hAnsi="Gill Sans MT" w:cstheme="minorHAnsi"/>
        </w:rPr>
        <w:t>off-site measures – the provision of suitable alternativ</w:t>
      </w:r>
      <w:r w:rsidR="001A5361">
        <w:rPr>
          <w:rFonts w:ascii="Gill Sans MT" w:hAnsi="Gill Sans MT" w:cstheme="minorHAnsi"/>
        </w:rPr>
        <w:t>e natural green spaces, (SANGS) and other infrastructure mitigation projects (IMPs)</w:t>
      </w:r>
      <w:r w:rsidRPr="003F30E4">
        <w:rPr>
          <w:rFonts w:ascii="Gill Sans MT" w:hAnsi="Gill Sans MT" w:cstheme="minorHAnsi"/>
        </w:rPr>
        <w:t xml:space="preserve">  </w:t>
      </w:r>
    </w:p>
    <w:p w14:paraId="3022D63F" w14:textId="77777777" w:rsidR="00C30FEE" w:rsidRPr="003F30E4" w:rsidRDefault="00C30FEE" w:rsidP="003F30E4">
      <w:pPr>
        <w:pStyle w:val="ListParagraph"/>
        <w:numPr>
          <w:ilvl w:val="0"/>
          <w:numId w:val="2"/>
        </w:numPr>
        <w:spacing w:after="0"/>
        <w:rPr>
          <w:rFonts w:ascii="Gill Sans MT" w:hAnsi="Gill Sans MT" w:cstheme="minorHAnsi"/>
        </w:rPr>
      </w:pPr>
      <w:r w:rsidRPr="003F30E4">
        <w:rPr>
          <w:rFonts w:ascii="Gill Sans MT" w:hAnsi="Gill Sans MT" w:cstheme="minorHAnsi"/>
        </w:rPr>
        <w:t xml:space="preserve">the costs of those measures.  </w:t>
      </w:r>
    </w:p>
    <w:p w14:paraId="4381EBE1" w14:textId="77777777" w:rsidR="00C30FEE" w:rsidRPr="003F30E4" w:rsidRDefault="00C30FEE" w:rsidP="003F30E4">
      <w:pPr>
        <w:pStyle w:val="ListParagraph"/>
        <w:spacing w:after="0"/>
        <w:rPr>
          <w:rFonts w:ascii="Gill Sans MT" w:hAnsi="Gill Sans MT" w:cstheme="minorHAnsi"/>
        </w:rPr>
      </w:pPr>
    </w:p>
    <w:p w14:paraId="6A42EB08" w14:textId="77777777" w:rsidR="001A5361" w:rsidRDefault="00C30FEE" w:rsidP="003F30E4">
      <w:pPr>
        <w:spacing w:after="0"/>
        <w:rPr>
          <w:rFonts w:ascii="Gill Sans MT" w:hAnsi="Gill Sans MT" w:cstheme="minorHAnsi"/>
        </w:rPr>
      </w:pPr>
      <w:r w:rsidRPr="003F30E4">
        <w:rPr>
          <w:rFonts w:ascii="Gill Sans MT" w:hAnsi="Gill Sans MT" w:cstheme="minorHAnsi"/>
        </w:rPr>
        <w:t xml:space="preserve">The analysis of the visitor information shows that </w:t>
      </w:r>
      <w:r w:rsidR="0085547A">
        <w:rPr>
          <w:rFonts w:ascii="Gill Sans MT" w:hAnsi="Gill Sans MT" w:cstheme="minorHAnsi"/>
        </w:rPr>
        <w:t>there are</w:t>
      </w:r>
      <w:r w:rsidR="001A5361">
        <w:rPr>
          <w:rFonts w:ascii="Gill Sans MT" w:hAnsi="Gill Sans MT" w:cstheme="minorHAnsi"/>
        </w:rPr>
        <w:t xml:space="preserve"> two main types of users, </w:t>
      </w:r>
    </w:p>
    <w:p w14:paraId="243F7902" w14:textId="77777777" w:rsidR="001A5361" w:rsidRPr="001A5361" w:rsidRDefault="0085547A" w:rsidP="001A5361">
      <w:pPr>
        <w:pStyle w:val="ListParagraph"/>
        <w:numPr>
          <w:ilvl w:val="0"/>
          <w:numId w:val="7"/>
        </w:numPr>
        <w:spacing w:after="0"/>
        <w:rPr>
          <w:rFonts w:ascii="Gill Sans MT" w:hAnsi="Gill Sans MT" w:cstheme="minorHAnsi"/>
        </w:rPr>
      </w:pPr>
      <w:r w:rsidRPr="001A5361">
        <w:rPr>
          <w:rFonts w:ascii="Gill Sans MT" w:hAnsi="Gill Sans MT" w:cstheme="minorHAnsi"/>
        </w:rPr>
        <w:t xml:space="preserve">all-year round visitors who come mainly from </w:t>
      </w:r>
      <w:r w:rsidR="001A5361" w:rsidRPr="001A5361">
        <w:rPr>
          <w:rFonts w:ascii="Gill Sans MT" w:hAnsi="Gill Sans MT" w:cstheme="minorHAnsi"/>
        </w:rPr>
        <w:t>quite close to the site and who use the site for dog-walking and similar.  T</w:t>
      </w:r>
      <w:r w:rsidR="00C30FEE" w:rsidRPr="001A5361">
        <w:rPr>
          <w:rFonts w:ascii="Gill Sans MT" w:hAnsi="Gill Sans MT" w:cstheme="minorHAnsi"/>
        </w:rPr>
        <w:t xml:space="preserve">he majority of </w:t>
      </w:r>
      <w:r w:rsidR="001A5361" w:rsidRPr="001A5361">
        <w:rPr>
          <w:rFonts w:ascii="Gill Sans MT" w:hAnsi="Gill Sans MT" w:cstheme="minorHAnsi"/>
        </w:rPr>
        <w:t>these users</w:t>
      </w:r>
      <w:r w:rsidR="00C30FEE" w:rsidRPr="001A5361">
        <w:rPr>
          <w:rFonts w:ascii="Gill Sans MT" w:hAnsi="Gill Sans MT" w:cstheme="minorHAnsi"/>
        </w:rPr>
        <w:t xml:space="preserve"> come from within </w:t>
      </w:r>
      <w:r w:rsidR="001A5361" w:rsidRPr="001A5361">
        <w:rPr>
          <w:rFonts w:ascii="Gill Sans MT" w:hAnsi="Gill Sans MT" w:cstheme="minorHAnsi"/>
        </w:rPr>
        <w:t>4.2</w:t>
      </w:r>
      <w:r w:rsidR="00C30FEE" w:rsidRPr="001A5361">
        <w:rPr>
          <w:rFonts w:ascii="Gill Sans MT" w:hAnsi="Gill Sans MT" w:cstheme="minorHAnsi"/>
        </w:rPr>
        <w:t xml:space="preserve">km of the </w:t>
      </w:r>
      <w:r w:rsidR="001A5361" w:rsidRPr="001A5361">
        <w:rPr>
          <w:rFonts w:ascii="Gill Sans MT" w:hAnsi="Gill Sans MT" w:cstheme="minorHAnsi"/>
        </w:rPr>
        <w:t>SAC</w:t>
      </w:r>
      <w:r w:rsidR="00C30FEE" w:rsidRPr="001A5361">
        <w:rPr>
          <w:rFonts w:ascii="Gill Sans MT" w:hAnsi="Gill Sans MT" w:cstheme="minorHAnsi"/>
        </w:rPr>
        <w:t xml:space="preserve"> </w:t>
      </w:r>
    </w:p>
    <w:p w14:paraId="3212192B" w14:textId="77777777" w:rsidR="001A5361" w:rsidRPr="001A5361" w:rsidRDefault="001A5361" w:rsidP="001A5361">
      <w:pPr>
        <w:pStyle w:val="ListParagraph"/>
        <w:numPr>
          <w:ilvl w:val="0"/>
          <w:numId w:val="7"/>
        </w:numPr>
        <w:spacing w:after="0"/>
        <w:rPr>
          <w:rFonts w:ascii="Gill Sans MT" w:hAnsi="Gill Sans MT" w:cstheme="minorHAnsi"/>
        </w:rPr>
      </w:pPr>
      <w:r>
        <w:rPr>
          <w:rFonts w:ascii="Gill Sans MT" w:hAnsi="Gill Sans MT" w:cstheme="minorHAnsi"/>
        </w:rPr>
        <w:t xml:space="preserve">seasonal </w:t>
      </w:r>
      <w:r w:rsidRPr="001A5361">
        <w:rPr>
          <w:rFonts w:ascii="Gill Sans MT" w:hAnsi="Gill Sans MT" w:cstheme="minorHAnsi"/>
        </w:rPr>
        <w:t>visitors who come to see the flowering fritillaries.  The majority of these users come from within 9.4km of the SAC</w:t>
      </w:r>
    </w:p>
    <w:p w14:paraId="7B5C5F7C" w14:textId="77777777" w:rsidR="001A5361" w:rsidRDefault="001A5361" w:rsidP="003F30E4">
      <w:pPr>
        <w:spacing w:after="0"/>
        <w:rPr>
          <w:rFonts w:ascii="Gill Sans MT" w:hAnsi="Gill Sans MT" w:cstheme="minorHAnsi"/>
        </w:rPr>
      </w:pPr>
    </w:p>
    <w:p w14:paraId="21C80239" w14:textId="77777777" w:rsidR="001A5361" w:rsidRDefault="001A5361" w:rsidP="003F30E4">
      <w:pPr>
        <w:spacing w:after="0"/>
        <w:rPr>
          <w:rFonts w:ascii="Gill Sans MT" w:hAnsi="Gill Sans MT" w:cstheme="minorHAnsi"/>
        </w:rPr>
      </w:pPr>
    </w:p>
    <w:p w14:paraId="110A0706" w14:textId="77777777" w:rsidR="001A5361" w:rsidRDefault="001A5361" w:rsidP="003F30E4">
      <w:pPr>
        <w:spacing w:after="0"/>
        <w:rPr>
          <w:rFonts w:ascii="Gill Sans MT" w:hAnsi="Gill Sans MT" w:cstheme="minorHAnsi"/>
        </w:rPr>
      </w:pPr>
    </w:p>
    <w:p w14:paraId="48BC1B24" w14:textId="77777777" w:rsidR="00C30FEE" w:rsidRDefault="001A5361" w:rsidP="003F30E4">
      <w:pPr>
        <w:spacing w:after="0"/>
        <w:rPr>
          <w:rFonts w:ascii="Gill Sans MT" w:hAnsi="Gill Sans MT" w:cstheme="minorHAnsi"/>
        </w:rPr>
      </w:pPr>
      <w:r>
        <w:rPr>
          <w:rFonts w:ascii="Gill Sans MT" w:hAnsi="Gill Sans MT" w:cstheme="minorHAnsi"/>
        </w:rPr>
        <w:t>Given that there are two types of users who come from different distances from the SAC and cause different impacts on the SAC two</w:t>
      </w:r>
      <w:r w:rsidR="00C30FEE" w:rsidRPr="003F30E4">
        <w:rPr>
          <w:rFonts w:ascii="Gill Sans MT" w:hAnsi="Gill Sans MT" w:cstheme="minorHAnsi"/>
        </w:rPr>
        <w:t xml:space="preserve"> Zone</w:t>
      </w:r>
      <w:r>
        <w:rPr>
          <w:rFonts w:ascii="Gill Sans MT" w:hAnsi="Gill Sans MT" w:cstheme="minorHAnsi"/>
        </w:rPr>
        <w:t>s</w:t>
      </w:r>
      <w:r w:rsidR="00C30FEE" w:rsidRPr="003F30E4">
        <w:rPr>
          <w:rFonts w:ascii="Gill Sans MT" w:hAnsi="Gill Sans MT" w:cstheme="minorHAnsi"/>
        </w:rPr>
        <w:t xml:space="preserve"> of Influence (</w:t>
      </w:r>
      <w:r w:rsidR="00696726" w:rsidRPr="003F30E4">
        <w:rPr>
          <w:rFonts w:ascii="Gill Sans MT" w:hAnsi="Gill Sans MT" w:cstheme="minorHAnsi"/>
        </w:rPr>
        <w:t>‘’</w:t>
      </w:r>
      <w:proofErr w:type="spellStart"/>
      <w:r w:rsidR="00C30FEE" w:rsidRPr="003F30E4">
        <w:rPr>
          <w:rFonts w:ascii="Gill Sans MT" w:hAnsi="Gill Sans MT" w:cstheme="minorHAnsi"/>
        </w:rPr>
        <w:t>ZoI</w:t>
      </w:r>
      <w:proofErr w:type="spellEnd"/>
      <w:r w:rsidR="00696726" w:rsidRPr="003F30E4">
        <w:rPr>
          <w:rFonts w:ascii="Gill Sans MT" w:hAnsi="Gill Sans MT" w:cstheme="minorHAnsi"/>
        </w:rPr>
        <w:t>’’</w:t>
      </w:r>
      <w:r w:rsidR="00B52A4C">
        <w:rPr>
          <w:rFonts w:ascii="Gill Sans MT" w:hAnsi="Gill Sans MT" w:cstheme="minorHAnsi"/>
        </w:rPr>
        <w:t>)</w:t>
      </w:r>
      <w:r>
        <w:rPr>
          <w:rFonts w:ascii="Gill Sans MT" w:hAnsi="Gill Sans MT" w:cstheme="minorHAnsi"/>
        </w:rPr>
        <w:t xml:space="preserve"> have been set</w:t>
      </w:r>
      <w:r w:rsidR="00C30FEE" w:rsidRPr="003F30E4">
        <w:rPr>
          <w:rFonts w:ascii="Gill Sans MT" w:hAnsi="Gill Sans MT" w:cstheme="minorHAnsi"/>
        </w:rPr>
        <w:t>.</w:t>
      </w:r>
    </w:p>
    <w:p w14:paraId="736A0320" w14:textId="77777777" w:rsidR="001A5361" w:rsidRPr="001A5361" w:rsidRDefault="001A5361" w:rsidP="001A5361">
      <w:pPr>
        <w:pStyle w:val="ListParagraph"/>
        <w:numPr>
          <w:ilvl w:val="0"/>
          <w:numId w:val="8"/>
        </w:numPr>
        <w:spacing w:after="0"/>
        <w:rPr>
          <w:rFonts w:ascii="Gill Sans MT" w:hAnsi="Gill Sans MT" w:cstheme="minorHAnsi"/>
        </w:rPr>
      </w:pPr>
      <w:r w:rsidRPr="001A5361">
        <w:rPr>
          <w:rFonts w:ascii="Gill Sans MT" w:hAnsi="Gill Sans MT" w:cstheme="minorHAnsi"/>
        </w:rPr>
        <w:t>Inner zone 0 – 4.2km from the SAC</w:t>
      </w:r>
    </w:p>
    <w:p w14:paraId="4506D4AA" w14:textId="77777777" w:rsidR="001A5361" w:rsidRPr="001A5361" w:rsidRDefault="001A5361" w:rsidP="001A5361">
      <w:pPr>
        <w:pStyle w:val="ListParagraph"/>
        <w:numPr>
          <w:ilvl w:val="0"/>
          <w:numId w:val="8"/>
        </w:numPr>
        <w:spacing w:after="0"/>
        <w:rPr>
          <w:rFonts w:ascii="Gill Sans MT" w:hAnsi="Gill Sans MT" w:cstheme="minorHAnsi"/>
        </w:rPr>
      </w:pPr>
      <w:r w:rsidRPr="001A5361">
        <w:rPr>
          <w:rFonts w:ascii="Gill Sans MT" w:hAnsi="Gill Sans MT" w:cstheme="minorHAnsi"/>
        </w:rPr>
        <w:t>Outer zone 4.2 – 9.4km from the SAC</w:t>
      </w:r>
    </w:p>
    <w:p w14:paraId="32196948" w14:textId="77777777" w:rsidR="00B52A4C" w:rsidRPr="003F30E4" w:rsidRDefault="00B52A4C" w:rsidP="003F30E4">
      <w:pPr>
        <w:spacing w:after="0"/>
        <w:rPr>
          <w:rFonts w:ascii="Gill Sans MT" w:hAnsi="Gill Sans MT" w:cstheme="minorHAnsi"/>
        </w:rPr>
      </w:pPr>
    </w:p>
    <w:p w14:paraId="13E8BBBC" w14:textId="77777777" w:rsidR="007A4B20" w:rsidRDefault="00C30FEE" w:rsidP="003F30E4">
      <w:pPr>
        <w:spacing w:after="0"/>
        <w:rPr>
          <w:rFonts w:ascii="Gill Sans MT" w:hAnsi="Gill Sans MT" w:cstheme="minorHAnsi"/>
        </w:rPr>
      </w:pPr>
      <w:r w:rsidRPr="003F30E4">
        <w:rPr>
          <w:rFonts w:ascii="Gill Sans MT" w:hAnsi="Gill Sans MT" w:cstheme="minorHAnsi"/>
        </w:rPr>
        <w:t xml:space="preserve">All planning applications (and prior approvals) for residential or holiday accommodation, within the </w:t>
      </w:r>
      <w:r w:rsidR="00396842">
        <w:rPr>
          <w:rFonts w:ascii="Gill Sans MT" w:hAnsi="Gill Sans MT" w:cstheme="minorHAnsi"/>
        </w:rPr>
        <w:t>9.4km of the SAC</w:t>
      </w:r>
      <w:r w:rsidRPr="003F30E4">
        <w:rPr>
          <w:rFonts w:ascii="Gill Sans MT" w:hAnsi="Gill Sans MT" w:cstheme="minorHAnsi"/>
        </w:rPr>
        <w:t xml:space="preserve">, will be subject to Habitats Regulations consideration.  </w:t>
      </w:r>
    </w:p>
    <w:p w14:paraId="6276E733" w14:textId="77777777" w:rsidR="00C30FEE" w:rsidRPr="003F30E4" w:rsidRDefault="00C30FEE" w:rsidP="003F30E4">
      <w:pPr>
        <w:spacing w:after="0"/>
        <w:rPr>
          <w:rFonts w:ascii="Gill Sans MT" w:hAnsi="Gill Sans MT" w:cstheme="minorHAnsi"/>
        </w:rPr>
      </w:pPr>
      <w:r w:rsidRPr="003F30E4">
        <w:rPr>
          <w:rFonts w:ascii="Gill Sans MT" w:hAnsi="Gill Sans MT" w:cstheme="minorHAnsi"/>
        </w:rPr>
        <w:t xml:space="preserve">This also includes –  </w:t>
      </w:r>
    </w:p>
    <w:p w14:paraId="06906972" w14:textId="77777777" w:rsidR="00C30FEE" w:rsidRPr="00B52A4C" w:rsidRDefault="00C30FEE" w:rsidP="003F30E4">
      <w:pPr>
        <w:pStyle w:val="Default"/>
        <w:numPr>
          <w:ilvl w:val="0"/>
          <w:numId w:val="1"/>
        </w:numPr>
        <w:rPr>
          <w:rFonts w:ascii="Gill Sans MT" w:hAnsi="Gill Sans MT" w:cstheme="minorHAnsi"/>
          <w:sz w:val="22"/>
        </w:rPr>
      </w:pPr>
      <w:r w:rsidRPr="00B52A4C">
        <w:rPr>
          <w:rFonts w:ascii="Gill Sans MT" w:hAnsi="Gill Sans MT" w:cstheme="minorHAnsi"/>
          <w:sz w:val="22"/>
        </w:rPr>
        <w:t xml:space="preserve">Houses in Multiple Occupation (sui generis); </w:t>
      </w:r>
    </w:p>
    <w:p w14:paraId="6D29ECB0" w14:textId="77777777" w:rsidR="00C30FEE" w:rsidRPr="00B52A4C" w:rsidRDefault="00C30FEE" w:rsidP="003F30E4">
      <w:pPr>
        <w:pStyle w:val="Default"/>
        <w:numPr>
          <w:ilvl w:val="0"/>
          <w:numId w:val="1"/>
        </w:numPr>
        <w:rPr>
          <w:rFonts w:ascii="Gill Sans MT" w:hAnsi="Gill Sans MT" w:cstheme="minorHAnsi"/>
          <w:sz w:val="22"/>
        </w:rPr>
      </w:pPr>
      <w:r w:rsidRPr="00B52A4C">
        <w:rPr>
          <w:rFonts w:ascii="Gill Sans MT" w:hAnsi="Gill Sans MT" w:cstheme="minorHAnsi"/>
          <w:sz w:val="22"/>
        </w:rPr>
        <w:t xml:space="preserve">Residential institutions within the C2 Use Class where the residents are not severely restricted by illness or mobility; </w:t>
      </w:r>
    </w:p>
    <w:p w14:paraId="7C6A1791" w14:textId="77777777" w:rsidR="00C30FEE" w:rsidRPr="00B52A4C" w:rsidRDefault="00C30FEE" w:rsidP="003F30E4">
      <w:pPr>
        <w:pStyle w:val="Default"/>
        <w:numPr>
          <w:ilvl w:val="0"/>
          <w:numId w:val="1"/>
        </w:numPr>
        <w:rPr>
          <w:rFonts w:ascii="Gill Sans MT" w:hAnsi="Gill Sans MT" w:cstheme="minorHAnsi"/>
          <w:sz w:val="22"/>
        </w:rPr>
      </w:pPr>
      <w:r w:rsidRPr="00B52A4C">
        <w:rPr>
          <w:rFonts w:ascii="Gill Sans MT" w:hAnsi="Gill Sans MT" w:cstheme="minorHAnsi"/>
          <w:sz w:val="22"/>
        </w:rPr>
        <w:t xml:space="preserve">Student accommodation; </w:t>
      </w:r>
    </w:p>
    <w:p w14:paraId="0D170ACB" w14:textId="77777777" w:rsidR="00C30FEE" w:rsidRPr="00B52A4C" w:rsidRDefault="00C30FEE" w:rsidP="003F30E4">
      <w:pPr>
        <w:pStyle w:val="Default"/>
        <w:numPr>
          <w:ilvl w:val="0"/>
          <w:numId w:val="1"/>
        </w:numPr>
        <w:rPr>
          <w:rFonts w:ascii="Gill Sans MT" w:hAnsi="Gill Sans MT" w:cstheme="minorHAnsi"/>
          <w:sz w:val="22"/>
        </w:rPr>
      </w:pPr>
      <w:r w:rsidRPr="00B52A4C">
        <w:rPr>
          <w:rFonts w:ascii="Gill Sans MT" w:hAnsi="Gill Sans MT" w:cstheme="minorHAnsi"/>
          <w:sz w:val="22"/>
        </w:rPr>
        <w:t>Sites for gypsy, travellers and travelling show</w:t>
      </w:r>
      <w:r w:rsidR="00696726" w:rsidRPr="00B52A4C">
        <w:rPr>
          <w:rFonts w:ascii="Gill Sans MT" w:hAnsi="Gill Sans MT" w:cstheme="minorHAnsi"/>
          <w:sz w:val="22"/>
        </w:rPr>
        <w:t xml:space="preserve"> </w:t>
      </w:r>
      <w:r w:rsidRPr="00B52A4C">
        <w:rPr>
          <w:rFonts w:ascii="Gill Sans MT" w:hAnsi="Gill Sans MT" w:cstheme="minorHAnsi"/>
          <w:sz w:val="22"/>
        </w:rPr>
        <w:t xml:space="preserve">people; </w:t>
      </w:r>
    </w:p>
    <w:p w14:paraId="4805BDA0" w14:textId="77777777" w:rsidR="00C30FEE" w:rsidRPr="00B52A4C" w:rsidRDefault="00C30FEE" w:rsidP="003F30E4">
      <w:pPr>
        <w:pStyle w:val="Default"/>
        <w:numPr>
          <w:ilvl w:val="0"/>
          <w:numId w:val="1"/>
        </w:numPr>
        <w:rPr>
          <w:rFonts w:ascii="Gill Sans MT" w:hAnsi="Gill Sans MT" w:cstheme="minorHAnsi"/>
          <w:sz w:val="22"/>
        </w:rPr>
      </w:pPr>
      <w:r w:rsidRPr="00B52A4C">
        <w:rPr>
          <w:rFonts w:ascii="Gill Sans MT" w:hAnsi="Gill Sans MT" w:cstheme="minorHAnsi"/>
          <w:sz w:val="22"/>
        </w:rPr>
        <w:t xml:space="preserve">Tourist accommodation, including self-catering, caravan and touring holiday accommodation. </w:t>
      </w:r>
    </w:p>
    <w:p w14:paraId="1F487F97" w14:textId="77777777" w:rsidR="003F30E4" w:rsidRPr="00B52A4C" w:rsidRDefault="003F30E4" w:rsidP="003F30E4">
      <w:pPr>
        <w:spacing w:after="0"/>
        <w:rPr>
          <w:rFonts w:ascii="Gill Sans MT" w:hAnsi="Gill Sans MT" w:cstheme="minorHAnsi"/>
          <w:szCs w:val="24"/>
        </w:rPr>
      </w:pPr>
    </w:p>
    <w:p w14:paraId="3B537CE0" w14:textId="77777777" w:rsidR="00C30FEE" w:rsidRDefault="00C30FEE" w:rsidP="003F30E4">
      <w:pPr>
        <w:spacing w:after="0"/>
        <w:rPr>
          <w:rFonts w:ascii="Gill Sans MT" w:hAnsi="Gill Sans MT" w:cstheme="minorHAnsi"/>
          <w:szCs w:val="24"/>
        </w:rPr>
      </w:pPr>
      <w:r w:rsidRPr="00B52A4C">
        <w:rPr>
          <w:rFonts w:ascii="Gill Sans MT" w:hAnsi="Gill Sans MT" w:cstheme="minorHAnsi"/>
          <w:szCs w:val="24"/>
        </w:rPr>
        <w:t>The need to address Habitats Regulations issues for other types of development will be considered on a case by case basis.</w:t>
      </w:r>
    </w:p>
    <w:p w14:paraId="0CEA7FFC" w14:textId="77777777" w:rsidR="00B52A4C" w:rsidRDefault="00B52A4C" w:rsidP="003F30E4">
      <w:pPr>
        <w:spacing w:after="0"/>
        <w:rPr>
          <w:rFonts w:ascii="Gill Sans MT" w:hAnsi="Gill Sans MT" w:cstheme="minorHAnsi"/>
          <w:szCs w:val="24"/>
        </w:rPr>
      </w:pPr>
    </w:p>
    <w:p w14:paraId="1B3C9B86" w14:textId="77777777" w:rsidR="00105FA2" w:rsidRPr="003F30E4" w:rsidRDefault="00105FA2" w:rsidP="003F30E4">
      <w:pPr>
        <w:spacing w:after="0"/>
        <w:rPr>
          <w:rFonts w:ascii="Gill Sans MT" w:hAnsi="Gill Sans MT" w:cstheme="minorHAnsi"/>
          <w:b/>
        </w:rPr>
      </w:pPr>
      <w:r w:rsidRPr="003F30E4">
        <w:rPr>
          <w:rFonts w:ascii="Gill Sans MT" w:hAnsi="Gill Sans MT" w:cstheme="minorHAnsi"/>
          <w:b/>
        </w:rPr>
        <w:t>Implications for Planning Applicants</w:t>
      </w:r>
    </w:p>
    <w:p w14:paraId="7F272743" w14:textId="77777777" w:rsidR="00396842" w:rsidRDefault="00396842" w:rsidP="003F30E4">
      <w:pPr>
        <w:spacing w:after="0"/>
        <w:rPr>
          <w:rFonts w:ascii="Gill Sans MT" w:hAnsi="Gill Sans MT" w:cstheme="minorHAnsi"/>
        </w:rPr>
      </w:pPr>
    </w:p>
    <w:p w14:paraId="1C1A2F67" w14:textId="77777777" w:rsidR="00C30FEE" w:rsidRPr="003F30E4" w:rsidRDefault="00C30FEE" w:rsidP="003F30E4">
      <w:pPr>
        <w:spacing w:after="0"/>
        <w:rPr>
          <w:rFonts w:ascii="Gill Sans MT" w:hAnsi="Gill Sans MT" w:cstheme="minorHAnsi"/>
        </w:rPr>
      </w:pPr>
      <w:r w:rsidRPr="003F30E4">
        <w:rPr>
          <w:rFonts w:ascii="Gill Sans MT" w:hAnsi="Gill Sans MT" w:cstheme="minorHAnsi"/>
        </w:rPr>
        <w:t xml:space="preserve">If an application falls within the residential/holiday accommodation </w:t>
      </w:r>
      <w:r w:rsidR="00396842">
        <w:rPr>
          <w:rFonts w:ascii="Gill Sans MT" w:hAnsi="Gill Sans MT" w:cstheme="minorHAnsi"/>
        </w:rPr>
        <w:t xml:space="preserve">category and is within 9.4km of the SAC </w:t>
      </w:r>
      <w:r w:rsidRPr="003F30E4">
        <w:rPr>
          <w:rFonts w:ascii="Gill Sans MT" w:hAnsi="Gill Sans MT" w:cstheme="minorHAnsi"/>
        </w:rPr>
        <w:t>there are two main options for applicants -</w:t>
      </w:r>
    </w:p>
    <w:p w14:paraId="339931D9" w14:textId="77777777" w:rsidR="00C30FEE" w:rsidRPr="003F30E4" w:rsidRDefault="00C30FEE" w:rsidP="003F30E4">
      <w:pPr>
        <w:pStyle w:val="ListParagraph"/>
        <w:numPr>
          <w:ilvl w:val="0"/>
          <w:numId w:val="5"/>
        </w:numPr>
        <w:spacing w:after="0"/>
        <w:rPr>
          <w:rFonts w:ascii="Gill Sans MT" w:hAnsi="Gill Sans MT" w:cstheme="minorHAnsi"/>
        </w:rPr>
      </w:pPr>
      <w:r w:rsidRPr="003F30E4">
        <w:rPr>
          <w:rFonts w:ascii="Gill Sans MT" w:hAnsi="Gill Sans MT" w:cstheme="minorHAnsi"/>
        </w:rPr>
        <w:t>Prepare your own “shadow” Habitats Regulations Assessment detailing the likely recreational impacts caused by your development and the mitigation that will be put in place to address those impacts.  This is likely to be a very time-consuming piece of work and will require the input of experienced ecologists and others.  This information should be submitted with your application.  This will be subject to consultation with Natural England.</w:t>
      </w:r>
    </w:p>
    <w:p w14:paraId="171A2ADA" w14:textId="77777777" w:rsidR="00105FA2" w:rsidRPr="003F30E4" w:rsidRDefault="00105FA2" w:rsidP="003F30E4">
      <w:pPr>
        <w:pStyle w:val="ListParagraph"/>
        <w:spacing w:after="0"/>
        <w:rPr>
          <w:rFonts w:ascii="Gill Sans MT" w:hAnsi="Gill Sans MT" w:cstheme="minorHAnsi"/>
        </w:rPr>
      </w:pPr>
    </w:p>
    <w:p w14:paraId="61EA9894" w14:textId="77777777" w:rsidR="00C30FEE" w:rsidRPr="003F30E4" w:rsidRDefault="00C30FEE" w:rsidP="003F30E4">
      <w:pPr>
        <w:pStyle w:val="ListParagraph"/>
        <w:numPr>
          <w:ilvl w:val="0"/>
          <w:numId w:val="3"/>
        </w:numPr>
        <w:spacing w:after="0"/>
        <w:rPr>
          <w:rFonts w:ascii="Gill Sans MT" w:hAnsi="Gill Sans MT" w:cstheme="minorHAnsi"/>
        </w:rPr>
      </w:pPr>
      <w:r w:rsidRPr="003F30E4">
        <w:rPr>
          <w:rFonts w:ascii="Gill Sans MT" w:hAnsi="Gill Sans MT" w:cstheme="minorHAnsi"/>
        </w:rPr>
        <w:t xml:space="preserve">Agree to contribute financially to the recreation mitigation strategy prepared by the relevant Local Authorities and Natural England.  The costs are – </w:t>
      </w:r>
    </w:p>
    <w:p w14:paraId="7FEC461F" w14:textId="78BBB200" w:rsidR="00105FA2" w:rsidRPr="003F30E4" w:rsidRDefault="00396842" w:rsidP="003F30E4">
      <w:pPr>
        <w:pStyle w:val="ListParagraph"/>
        <w:numPr>
          <w:ilvl w:val="1"/>
          <w:numId w:val="3"/>
        </w:numPr>
        <w:spacing w:after="0"/>
        <w:rPr>
          <w:rFonts w:ascii="Gill Sans MT" w:hAnsi="Gill Sans MT" w:cstheme="minorHAnsi"/>
        </w:rPr>
      </w:pPr>
      <w:r>
        <w:rPr>
          <w:rFonts w:ascii="Gill Sans MT" w:hAnsi="Gill Sans MT" w:cstheme="minorHAnsi"/>
        </w:rPr>
        <w:t xml:space="preserve">Outer zone </w:t>
      </w:r>
      <w:r>
        <w:rPr>
          <w:rFonts w:ascii="Gill Sans MT" w:hAnsi="Gill Sans MT" w:cstheme="minorHAnsi"/>
        </w:rPr>
        <w:tab/>
        <w:t>£3</w:t>
      </w:r>
      <w:r w:rsidR="00281EB6">
        <w:rPr>
          <w:rFonts w:ascii="Gill Sans MT" w:hAnsi="Gill Sans MT" w:cstheme="minorHAnsi"/>
        </w:rPr>
        <w:t>32</w:t>
      </w:r>
      <w:r w:rsidR="00105FA2" w:rsidRPr="003F30E4">
        <w:rPr>
          <w:rFonts w:ascii="Gill Sans MT" w:hAnsi="Gill Sans MT" w:cstheme="minorHAnsi"/>
        </w:rPr>
        <w:t>/unit</w:t>
      </w:r>
      <w:r w:rsidR="00EA2211">
        <w:rPr>
          <w:rFonts w:ascii="Gill Sans MT" w:hAnsi="Gill Sans MT" w:cstheme="minorHAnsi"/>
        </w:rPr>
        <w:t xml:space="preserve"> (+ admin fee)</w:t>
      </w:r>
    </w:p>
    <w:p w14:paraId="264B03BB" w14:textId="58CE002C" w:rsidR="00105FA2" w:rsidRPr="003F30E4" w:rsidRDefault="00396842" w:rsidP="003F30E4">
      <w:pPr>
        <w:pStyle w:val="ListParagraph"/>
        <w:numPr>
          <w:ilvl w:val="1"/>
          <w:numId w:val="3"/>
        </w:numPr>
        <w:spacing w:after="0"/>
        <w:rPr>
          <w:rFonts w:ascii="Gill Sans MT" w:hAnsi="Gill Sans MT" w:cstheme="minorHAnsi"/>
        </w:rPr>
      </w:pPr>
      <w:r>
        <w:rPr>
          <w:rFonts w:ascii="Gill Sans MT" w:hAnsi="Gill Sans MT" w:cstheme="minorHAnsi"/>
        </w:rPr>
        <w:t>Inner zone</w:t>
      </w:r>
      <w:r>
        <w:rPr>
          <w:rFonts w:ascii="Gill Sans MT" w:hAnsi="Gill Sans MT" w:cstheme="minorHAnsi"/>
        </w:rPr>
        <w:tab/>
        <w:t>£8</w:t>
      </w:r>
      <w:r w:rsidR="00281EB6">
        <w:rPr>
          <w:rFonts w:ascii="Gill Sans MT" w:hAnsi="Gill Sans MT" w:cstheme="minorHAnsi"/>
        </w:rPr>
        <w:t>12</w:t>
      </w:r>
      <w:r w:rsidR="00105FA2" w:rsidRPr="003F30E4">
        <w:rPr>
          <w:rFonts w:ascii="Gill Sans MT" w:hAnsi="Gill Sans MT" w:cstheme="minorHAnsi"/>
        </w:rPr>
        <w:t>/unit</w:t>
      </w:r>
      <w:r w:rsidR="00EA2211">
        <w:rPr>
          <w:rFonts w:ascii="Gill Sans MT" w:hAnsi="Gill Sans MT" w:cstheme="minorHAnsi"/>
        </w:rPr>
        <w:t xml:space="preserve"> (+ admin fee)</w:t>
      </w:r>
    </w:p>
    <w:p w14:paraId="26DAE923" w14:textId="77777777" w:rsidR="00C30FEE" w:rsidRDefault="00C30FEE" w:rsidP="003F30E4">
      <w:pPr>
        <w:spacing w:after="0"/>
        <w:rPr>
          <w:rFonts w:ascii="Gill Sans MT" w:hAnsi="Gill Sans MT" w:cstheme="minorHAnsi"/>
        </w:rPr>
      </w:pPr>
    </w:p>
    <w:p w14:paraId="372EB324" w14:textId="77777777" w:rsidR="00C30FEE" w:rsidRDefault="00C30FEE" w:rsidP="003F30E4">
      <w:pPr>
        <w:spacing w:after="0"/>
        <w:rPr>
          <w:rFonts w:ascii="Gill Sans MT" w:hAnsi="Gill Sans MT" w:cstheme="minorHAnsi"/>
        </w:rPr>
      </w:pPr>
      <w:r w:rsidRPr="003F30E4">
        <w:rPr>
          <w:rFonts w:ascii="Gill Sans MT" w:hAnsi="Gill Sans MT" w:cstheme="minorHAnsi"/>
        </w:rPr>
        <w:t xml:space="preserve">If you wish to use the contribution option, you should </w:t>
      </w:r>
    </w:p>
    <w:p w14:paraId="159B343D" w14:textId="77777777" w:rsidR="00396842" w:rsidRPr="003F30E4" w:rsidRDefault="00396842" w:rsidP="003F30E4">
      <w:pPr>
        <w:spacing w:after="0"/>
        <w:rPr>
          <w:rFonts w:ascii="Gill Sans MT" w:hAnsi="Gill Sans MT" w:cstheme="minorHAnsi"/>
        </w:rPr>
      </w:pPr>
    </w:p>
    <w:p w14:paraId="7E2FB88F" w14:textId="77777777" w:rsidR="00C30FEE" w:rsidRPr="009064D3" w:rsidRDefault="00EA2211" w:rsidP="009064D3">
      <w:pPr>
        <w:spacing w:after="0"/>
        <w:ind w:left="720"/>
        <w:rPr>
          <w:rFonts w:ascii="Gill Sans MT" w:hAnsi="Gill Sans MT" w:cstheme="minorHAnsi"/>
        </w:rPr>
      </w:pPr>
      <w:r>
        <w:rPr>
          <w:rFonts w:ascii="Gill Sans MT" w:hAnsi="Gill Sans MT" w:cstheme="minorHAnsi"/>
        </w:rPr>
        <w:t>C</w:t>
      </w:r>
      <w:r w:rsidR="00C30FEE" w:rsidRPr="003F30E4">
        <w:rPr>
          <w:rFonts w:ascii="Gill Sans MT" w:hAnsi="Gill Sans MT" w:cstheme="minorHAnsi"/>
        </w:rPr>
        <w:t xml:space="preserve">omplete the </w:t>
      </w:r>
      <w:r w:rsidR="00396842">
        <w:rPr>
          <w:rFonts w:ascii="Gill Sans MT" w:hAnsi="Gill Sans MT" w:cstheme="minorHAnsi"/>
        </w:rPr>
        <w:t xml:space="preserve">relevant </w:t>
      </w:r>
      <w:r w:rsidR="00C30FEE" w:rsidRPr="003F30E4">
        <w:rPr>
          <w:rFonts w:ascii="Gill Sans MT" w:hAnsi="Gill Sans MT" w:cstheme="minorHAnsi"/>
        </w:rPr>
        <w:t xml:space="preserve">s.111 </w:t>
      </w:r>
      <w:r w:rsidR="00696726" w:rsidRPr="003F30E4">
        <w:rPr>
          <w:rFonts w:ascii="Gill Sans MT" w:hAnsi="Gill Sans MT" w:cstheme="minorHAnsi"/>
        </w:rPr>
        <w:t>A</w:t>
      </w:r>
      <w:r w:rsidR="00025FF2" w:rsidRPr="003F30E4">
        <w:rPr>
          <w:rFonts w:ascii="Gill Sans MT" w:hAnsi="Gill Sans MT" w:cstheme="minorHAnsi"/>
        </w:rPr>
        <w:t xml:space="preserve">greement </w:t>
      </w:r>
      <w:r w:rsidR="00C30FEE" w:rsidRPr="003F30E4">
        <w:rPr>
          <w:rFonts w:ascii="Gill Sans MT" w:hAnsi="Gill Sans MT" w:cstheme="minorHAnsi"/>
        </w:rPr>
        <w:t xml:space="preserve">form, agreeing to make the relevant payment </w:t>
      </w:r>
      <w:r w:rsidR="00FF7BC6" w:rsidRPr="003F30E4">
        <w:rPr>
          <w:rFonts w:ascii="Gill Sans MT" w:hAnsi="Gill Sans MT" w:cstheme="minorHAnsi"/>
        </w:rPr>
        <w:t xml:space="preserve">on receipt of the appropriate invoice, </w:t>
      </w:r>
      <w:r w:rsidR="00034CA1">
        <w:rPr>
          <w:rFonts w:ascii="Gill Sans MT" w:hAnsi="Gill Sans MT" w:cstheme="minorHAnsi"/>
        </w:rPr>
        <w:t xml:space="preserve">prior to determination. </w:t>
      </w:r>
      <w:r w:rsidR="00C30FEE" w:rsidRPr="003F30E4">
        <w:rPr>
          <w:rFonts w:ascii="Gill Sans MT" w:hAnsi="Gill Sans MT" w:cstheme="minorHAnsi"/>
        </w:rPr>
        <w:t>The contribution will be refunded – minus the administration charge</w:t>
      </w:r>
      <w:r w:rsidR="00034CA1">
        <w:rPr>
          <w:rFonts w:ascii="Gill Sans MT" w:hAnsi="Gill Sans MT" w:cstheme="minorHAnsi"/>
        </w:rPr>
        <w:t xml:space="preserve"> </w:t>
      </w:r>
      <w:r w:rsidR="00034CA1" w:rsidRPr="003F30E4">
        <w:rPr>
          <w:rFonts w:ascii="Gill Sans MT" w:hAnsi="Gill Sans MT" w:cstheme="minorHAnsi"/>
        </w:rPr>
        <w:t>–</w:t>
      </w:r>
      <w:r w:rsidR="00C30FEE" w:rsidRPr="003F30E4">
        <w:rPr>
          <w:rFonts w:ascii="Gill Sans MT" w:hAnsi="Gill Sans MT" w:cstheme="minorHAnsi"/>
        </w:rPr>
        <w:t xml:space="preserve"> if permission is not granted</w:t>
      </w:r>
      <w:r w:rsidR="00034CA1">
        <w:rPr>
          <w:rFonts w:ascii="Gill Sans MT" w:hAnsi="Gill Sans MT" w:cstheme="minorHAnsi"/>
        </w:rPr>
        <w:t xml:space="preserve"> (f</w:t>
      </w:r>
      <w:r w:rsidR="00396842">
        <w:rPr>
          <w:rFonts w:ascii="Gill Sans MT" w:hAnsi="Gill Sans MT" w:cstheme="minorHAnsi"/>
        </w:rPr>
        <w:t>or details see the s.111 template form</w:t>
      </w:r>
      <w:r w:rsidR="00C30FEE" w:rsidRPr="003F30E4">
        <w:rPr>
          <w:rFonts w:ascii="Gill Sans MT" w:hAnsi="Gill Sans MT" w:cstheme="minorHAnsi"/>
        </w:rPr>
        <w:t>)</w:t>
      </w:r>
      <w:r w:rsidR="009064D3">
        <w:rPr>
          <w:rFonts w:ascii="Gill Sans MT" w:hAnsi="Gill Sans MT" w:cstheme="minorHAnsi"/>
        </w:rPr>
        <w:t>.</w:t>
      </w:r>
      <w:r w:rsidR="00C30FEE" w:rsidRPr="003F30E4">
        <w:rPr>
          <w:rFonts w:ascii="Gill Sans MT" w:hAnsi="Gill Sans MT" w:cstheme="minorHAnsi"/>
        </w:rPr>
        <w:t xml:space="preserve">  </w:t>
      </w:r>
      <w:r w:rsidR="009064D3">
        <w:rPr>
          <w:rFonts w:ascii="Gill Sans MT" w:hAnsi="Gill Sans MT" w:cstheme="minorHAnsi"/>
        </w:rPr>
        <w:t>It is important to use the s.111 template form that relates to the zone within which your development is located.</w:t>
      </w:r>
    </w:p>
    <w:p w14:paraId="07C85331" w14:textId="7705F098" w:rsidR="00205A83" w:rsidRPr="003F30E4" w:rsidRDefault="00205A83" w:rsidP="003F30E4">
      <w:pPr>
        <w:pStyle w:val="ListParagraph"/>
        <w:numPr>
          <w:ilvl w:val="1"/>
          <w:numId w:val="4"/>
        </w:numPr>
        <w:spacing w:after="0"/>
        <w:rPr>
          <w:rFonts w:ascii="Gill Sans MT" w:hAnsi="Gill Sans MT" w:cstheme="minorHAnsi"/>
        </w:rPr>
      </w:pPr>
      <w:r w:rsidRPr="003F30E4">
        <w:rPr>
          <w:rFonts w:ascii="Gill Sans MT" w:hAnsi="Gill Sans MT" w:cstheme="minorHAnsi"/>
        </w:rPr>
        <w:t>Cost - £</w:t>
      </w:r>
      <w:r w:rsidR="00396842">
        <w:rPr>
          <w:rFonts w:ascii="Gill Sans MT" w:hAnsi="Gill Sans MT" w:cstheme="minorHAnsi"/>
        </w:rPr>
        <w:t>3</w:t>
      </w:r>
      <w:r w:rsidR="00281EB6">
        <w:rPr>
          <w:rFonts w:ascii="Gill Sans MT" w:hAnsi="Gill Sans MT" w:cstheme="minorHAnsi"/>
        </w:rPr>
        <w:t>32</w:t>
      </w:r>
      <w:r w:rsidR="00396842">
        <w:rPr>
          <w:rFonts w:ascii="Gill Sans MT" w:hAnsi="Gill Sans MT" w:cstheme="minorHAnsi"/>
        </w:rPr>
        <w:t xml:space="preserve"> or £8</w:t>
      </w:r>
      <w:r w:rsidR="00281EB6">
        <w:rPr>
          <w:rFonts w:ascii="Gill Sans MT" w:hAnsi="Gill Sans MT" w:cstheme="minorHAnsi"/>
        </w:rPr>
        <w:t>12</w:t>
      </w:r>
      <w:r w:rsidR="00396842">
        <w:rPr>
          <w:rFonts w:ascii="Gill Sans MT" w:hAnsi="Gill Sans MT" w:cstheme="minorHAnsi"/>
        </w:rPr>
        <w:t xml:space="preserve"> per </w:t>
      </w:r>
      <w:r w:rsidRPr="003F30E4">
        <w:rPr>
          <w:rFonts w:ascii="Gill Sans MT" w:hAnsi="Gill Sans MT" w:cstheme="minorHAnsi"/>
        </w:rPr>
        <w:t>unit + an administration fee £</w:t>
      </w:r>
      <w:r w:rsidR="00025FF2" w:rsidRPr="003F30E4">
        <w:rPr>
          <w:rFonts w:ascii="Gill Sans MT" w:hAnsi="Gill Sans MT" w:cstheme="minorHAnsi"/>
        </w:rPr>
        <w:t>125</w:t>
      </w:r>
      <w:r w:rsidRPr="003F30E4">
        <w:rPr>
          <w:rFonts w:ascii="Gill Sans MT" w:hAnsi="Gill Sans MT" w:cstheme="minorHAnsi"/>
        </w:rPr>
        <w:t xml:space="preserve"> </w:t>
      </w:r>
      <w:r w:rsidR="00EA2211">
        <w:rPr>
          <w:rFonts w:ascii="Gill Sans MT" w:hAnsi="Gill Sans MT" w:cstheme="minorHAnsi"/>
        </w:rPr>
        <w:t>per agreement</w:t>
      </w:r>
    </w:p>
    <w:p w14:paraId="2B2C416A" w14:textId="77777777" w:rsidR="00205A83" w:rsidRPr="003F30E4" w:rsidRDefault="00205A83" w:rsidP="003F30E4">
      <w:pPr>
        <w:pStyle w:val="ListParagraph"/>
        <w:spacing w:after="0"/>
        <w:rPr>
          <w:rFonts w:ascii="Gill Sans MT" w:hAnsi="Gill Sans MT" w:cstheme="minorHAnsi"/>
        </w:rPr>
      </w:pPr>
    </w:p>
    <w:p w14:paraId="5BD64557" w14:textId="77777777" w:rsidR="00C30FEE" w:rsidRPr="003F30E4" w:rsidRDefault="00696726" w:rsidP="003F30E4">
      <w:pPr>
        <w:pStyle w:val="ListParagraph"/>
        <w:spacing w:after="0"/>
        <w:rPr>
          <w:rFonts w:ascii="Gill Sans MT" w:hAnsi="Gill Sans MT" w:cstheme="minorHAnsi"/>
        </w:rPr>
      </w:pPr>
      <w:r w:rsidRPr="003F30E4">
        <w:rPr>
          <w:rFonts w:ascii="Gill Sans MT" w:hAnsi="Gill Sans MT" w:cstheme="minorHAnsi"/>
        </w:rPr>
        <w:t>A</w:t>
      </w:r>
      <w:r w:rsidR="00C30FEE" w:rsidRPr="003F30E4">
        <w:rPr>
          <w:rFonts w:ascii="Gill Sans MT" w:hAnsi="Gill Sans MT" w:cstheme="minorHAnsi"/>
        </w:rPr>
        <w:t>lternatively you can complete and submit a Unilateral Undertaking</w:t>
      </w:r>
      <w:r w:rsidR="0054705B" w:rsidRPr="003F30E4">
        <w:rPr>
          <w:rFonts w:ascii="Gill Sans MT" w:hAnsi="Gill Sans MT" w:cstheme="minorHAnsi"/>
        </w:rPr>
        <w:t xml:space="preserve"> (template version available on our website)</w:t>
      </w:r>
      <w:r w:rsidR="00C30FEE" w:rsidRPr="003F30E4">
        <w:rPr>
          <w:rFonts w:ascii="Gill Sans MT" w:hAnsi="Gill Sans MT" w:cstheme="minorHAnsi"/>
        </w:rPr>
        <w:t>, agreeing that payment will be made prior to commencement of the development.  The administration charge will be higher for the Unilateral Undertaking option as there is additional administra</w:t>
      </w:r>
      <w:r w:rsidR="007A4B20">
        <w:rPr>
          <w:rFonts w:ascii="Gill Sans MT" w:hAnsi="Gill Sans MT" w:cstheme="minorHAnsi"/>
        </w:rPr>
        <w:t xml:space="preserve">tion required by the Council. </w:t>
      </w:r>
      <w:r w:rsidR="00C30FEE" w:rsidRPr="003F30E4">
        <w:rPr>
          <w:rFonts w:ascii="Gill Sans MT" w:hAnsi="Gill Sans MT" w:cstheme="minorHAnsi"/>
        </w:rPr>
        <w:t xml:space="preserve">In cases where a s.106 </w:t>
      </w:r>
      <w:r w:rsidRPr="003F30E4">
        <w:rPr>
          <w:rFonts w:ascii="Gill Sans MT" w:hAnsi="Gill Sans MT" w:cstheme="minorHAnsi"/>
        </w:rPr>
        <w:t>A</w:t>
      </w:r>
      <w:r w:rsidR="00C30FEE" w:rsidRPr="003F30E4">
        <w:rPr>
          <w:rFonts w:ascii="Gill Sans MT" w:hAnsi="Gill Sans MT" w:cstheme="minorHAnsi"/>
        </w:rPr>
        <w:t xml:space="preserve">greement is needed for other </w:t>
      </w:r>
      <w:proofErr w:type="gramStart"/>
      <w:r w:rsidR="00C30FEE" w:rsidRPr="003F30E4">
        <w:rPr>
          <w:rFonts w:ascii="Gill Sans MT" w:hAnsi="Gill Sans MT" w:cstheme="minorHAnsi"/>
        </w:rPr>
        <w:t>reasons,</w:t>
      </w:r>
      <w:proofErr w:type="gramEnd"/>
      <w:r w:rsidR="00C30FEE" w:rsidRPr="003F30E4">
        <w:rPr>
          <w:rFonts w:ascii="Gill Sans MT" w:hAnsi="Gill Sans MT" w:cstheme="minorHAnsi"/>
        </w:rPr>
        <w:t xml:space="preserve"> the contribution could be included within that s.106</w:t>
      </w:r>
      <w:r w:rsidR="00302809" w:rsidRPr="003F30E4">
        <w:rPr>
          <w:rFonts w:ascii="Gill Sans MT" w:hAnsi="Gill Sans MT" w:cstheme="minorHAnsi"/>
        </w:rPr>
        <w:t xml:space="preserve"> and administration costs will be calculated separately</w:t>
      </w:r>
      <w:r w:rsidR="0054705B" w:rsidRPr="003F30E4">
        <w:rPr>
          <w:rFonts w:ascii="Gill Sans MT" w:hAnsi="Gill Sans MT" w:cstheme="minorHAnsi"/>
        </w:rPr>
        <w:t>.  For particularly complex s.106 agreements a site specific administration charge will be levied.</w:t>
      </w:r>
    </w:p>
    <w:p w14:paraId="462EFF89" w14:textId="5E4C9BBA" w:rsidR="00205A83" w:rsidRDefault="00396842" w:rsidP="003F30E4">
      <w:pPr>
        <w:pStyle w:val="ListParagraph"/>
        <w:numPr>
          <w:ilvl w:val="1"/>
          <w:numId w:val="4"/>
        </w:numPr>
        <w:spacing w:after="0"/>
        <w:rPr>
          <w:rFonts w:ascii="Gill Sans MT" w:hAnsi="Gill Sans MT" w:cstheme="minorHAnsi"/>
        </w:rPr>
      </w:pPr>
      <w:r>
        <w:rPr>
          <w:rFonts w:ascii="Gill Sans MT" w:hAnsi="Gill Sans MT" w:cstheme="minorHAnsi"/>
        </w:rPr>
        <w:t>Cost - £3</w:t>
      </w:r>
      <w:r w:rsidR="00281EB6">
        <w:rPr>
          <w:rFonts w:ascii="Gill Sans MT" w:hAnsi="Gill Sans MT" w:cstheme="minorHAnsi"/>
        </w:rPr>
        <w:t>32</w:t>
      </w:r>
      <w:r>
        <w:rPr>
          <w:rFonts w:ascii="Gill Sans MT" w:hAnsi="Gill Sans MT" w:cstheme="minorHAnsi"/>
        </w:rPr>
        <w:t xml:space="preserve"> or £8</w:t>
      </w:r>
      <w:r w:rsidR="00281EB6">
        <w:rPr>
          <w:rFonts w:ascii="Gill Sans MT" w:hAnsi="Gill Sans MT" w:cstheme="minorHAnsi"/>
        </w:rPr>
        <w:t>12</w:t>
      </w:r>
      <w:r>
        <w:rPr>
          <w:rFonts w:ascii="Gill Sans MT" w:hAnsi="Gill Sans MT" w:cstheme="minorHAnsi"/>
        </w:rPr>
        <w:t xml:space="preserve"> per </w:t>
      </w:r>
      <w:r w:rsidR="00205A83" w:rsidRPr="003F30E4">
        <w:rPr>
          <w:rFonts w:ascii="Gill Sans MT" w:hAnsi="Gill Sans MT" w:cstheme="minorHAnsi"/>
        </w:rPr>
        <w:t>uni</w:t>
      </w:r>
      <w:r w:rsidR="009871C9" w:rsidRPr="003F30E4">
        <w:rPr>
          <w:rFonts w:ascii="Gill Sans MT" w:hAnsi="Gill Sans MT" w:cstheme="minorHAnsi"/>
        </w:rPr>
        <w:t>t + an administration fee £5</w:t>
      </w:r>
      <w:r w:rsidR="008054AB">
        <w:rPr>
          <w:rFonts w:ascii="Gill Sans MT" w:hAnsi="Gill Sans MT" w:cstheme="minorHAnsi"/>
        </w:rPr>
        <w:t>1</w:t>
      </w:r>
      <w:r w:rsidR="009871C9" w:rsidRPr="003F30E4">
        <w:rPr>
          <w:rFonts w:ascii="Gill Sans MT" w:hAnsi="Gill Sans MT" w:cstheme="minorHAnsi"/>
        </w:rPr>
        <w:t>0</w:t>
      </w:r>
      <w:r w:rsidR="00205A83" w:rsidRPr="003F30E4">
        <w:rPr>
          <w:rFonts w:ascii="Gill Sans MT" w:hAnsi="Gill Sans MT" w:cstheme="minorHAnsi"/>
        </w:rPr>
        <w:t xml:space="preserve"> </w:t>
      </w:r>
    </w:p>
    <w:p w14:paraId="140DF7F3" w14:textId="77777777" w:rsidR="00B52A4C" w:rsidRPr="003F30E4" w:rsidRDefault="00B52A4C" w:rsidP="00B52A4C">
      <w:pPr>
        <w:pStyle w:val="ListParagraph"/>
        <w:spacing w:after="0"/>
        <w:ind w:left="1440"/>
        <w:rPr>
          <w:rFonts w:ascii="Gill Sans MT" w:hAnsi="Gill Sans MT" w:cstheme="minorHAnsi"/>
        </w:rPr>
      </w:pPr>
    </w:p>
    <w:p w14:paraId="76EDDC32" w14:textId="77777777" w:rsidR="00C30FEE" w:rsidRPr="003F30E4" w:rsidRDefault="009871C9" w:rsidP="003F30E4">
      <w:pPr>
        <w:spacing w:after="0"/>
        <w:rPr>
          <w:rFonts w:ascii="Gill Sans MT" w:hAnsi="Gill Sans MT" w:cstheme="minorHAnsi"/>
        </w:rPr>
      </w:pPr>
      <w:r w:rsidRPr="003F30E4">
        <w:rPr>
          <w:rFonts w:ascii="Gill Sans MT" w:hAnsi="Gill Sans MT" w:cstheme="minorHAnsi"/>
        </w:rPr>
        <w:lastRenderedPageBreak/>
        <w:t>The administration fee has been calculated per site or agreement</w:t>
      </w:r>
      <w:r w:rsidR="00B52A4C">
        <w:rPr>
          <w:rFonts w:ascii="Gill Sans MT" w:hAnsi="Gill Sans MT" w:cstheme="minorHAnsi"/>
        </w:rPr>
        <w:t>, not per unit of accommodation.</w:t>
      </w:r>
      <w:r w:rsidR="008054AB">
        <w:rPr>
          <w:rFonts w:ascii="Gill Sans MT" w:hAnsi="Gill Sans MT" w:cstheme="minorHAnsi"/>
        </w:rPr>
        <w:t xml:space="preserve"> The Council reserves the right to periodically review and amend both the administration fee and mitigation contribution.</w:t>
      </w:r>
    </w:p>
    <w:p w14:paraId="1E256FD7" w14:textId="77777777" w:rsidR="009871C9" w:rsidRPr="003F30E4" w:rsidRDefault="009871C9" w:rsidP="003F30E4">
      <w:pPr>
        <w:spacing w:after="0"/>
        <w:rPr>
          <w:rFonts w:ascii="Gill Sans MT" w:hAnsi="Gill Sans MT" w:cstheme="minorHAnsi"/>
          <w:b/>
        </w:rPr>
      </w:pPr>
    </w:p>
    <w:p w14:paraId="1D404062" w14:textId="77777777" w:rsidR="00302809" w:rsidRPr="00103A83" w:rsidRDefault="00786228" w:rsidP="003F30E4">
      <w:pPr>
        <w:spacing w:after="0"/>
        <w:rPr>
          <w:rFonts w:ascii="Gill Sans MT" w:hAnsi="Gill Sans MT" w:cstheme="minorHAnsi"/>
          <w:b/>
          <w:sz w:val="24"/>
          <w:u w:val="single"/>
        </w:rPr>
      </w:pPr>
      <w:r w:rsidRPr="00103A83">
        <w:rPr>
          <w:rFonts w:ascii="Gill Sans MT" w:hAnsi="Gill Sans MT" w:cstheme="minorHAnsi"/>
          <w:b/>
          <w:sz w:val="24"/>
          <w:u w:val="single"/>
        </w:rPr>
        <w:t>Completing the S</w:t>
      </w:r>
      <w:r w:rsidR="00302809" w:rsidRPr="00103A83">
        <w:rPr>
          <w:rFonts w:ascii="Gill Sans MT" w:hAnsi="Gill Sans MT" w:cstheme="minorHAnsi"/>
          <w:b/>
          <w:sz w:val="24"/>
          <w:u w:val="single"/>
        </w:rPr>
        <w:t>.111 Agreement</w:t>
      </w:r>
    </w:p>
    <w:p w14:paraId="44F2A8B2" w14:textId="77777777" w:rsidR="003A3B8D" w:rsidRPr="003A3B8D" w:rsidRDefault="003A3B8D" w:rsidP="003F30E4">
      <w:pPr>
        <w:spacing w:after="0"/>
        <w:rPr>
          <w:rFonts w:ascii="Gill Sans MT" w:hAnsi="Gill Sans MT" w:cstheme="minorHAnsi"/>
          <w:b/>
          <w:color w:val="FF0000"/>
          <w:sz w:val="24"/>
          <w:u w:val="single"/>
        </w:rPr>
      </w:pPr>
    </w:p>
    <w:p w14:paraId="2C3E9E3D" w14:textId="77777777" w:rsidR="00302809" w:rsidRPr="003F30E4" w:rsidRDefault="00302809" w:rsidP="003F30E4">
      <w:pPr>
        <w:spacing w:after="0"/>
        <w:rPr>
          <w:rFonts w:ascii="Gill Sans MT" w:hAnsi="Gill Sans MT" w:cstheme="minorHAnsi"/>
        </w:rPr>
      </w:pPr>
      <w:r w:rsidRPr="003F30E4">
        <w:rPr>
          <w:rFonts w:ascii="Gill Sans MT" w:hAnsi="Gill Sans MT" w:cstheme="minorHAnsi"/>
        </w:rPr>
        <w:t xml:space="preserve">Section 111 </w:t>
      </w:r>
      <w:r w:rsidR="00696726" w:rsidRPr="003F30E4">
        <w:rPr>
          <w:rFonts w:ascii="Gill Sans MT" w:hAnsi="Gill Sans MT" w:cstheme="minorHAnsi"/>
        </w:rPr>
        <w:t>A</w:t>
      </w:r>
      <w:r w:rsidRPr="003F30E4">
        <w:rPr>
          <w:rFonts w:ascii="Gill Sans MT" w:hAnsi="Gill Sans MT" w:cstheme="minorHAnsi"/>
        </w:rPr>
        <w:t xml:space="preserve">greements provide Councils with a general power, under </w:t>
      </w:r>
      <w:r w:rsidR="009871C9" w:rsidRPr="003F30E4">
        <w:rPr>
          <w:rFonts w:ascii="Gill Sans MT" w:hAnsi="Gill Sans MT" w:cstheme="minorHAnsi"/>
        </w:rPr>
        <w:t xml:space="preserve">the </w:t>
      </w:r>
      <w:r w:rsidRPr="003F30E4">
        <w:rPr>
          <w:rFonts w:ascii="Gill Sans MT" w:hAnsi="Gill Sans MT" w:cstheme="minorHAnsi"/>
        </w:rPr>
        <w:t>Local Government Act</w:t>
      </w:r>
      <w:r w:rsidR="00696726" w:rsidRPr="003F30E4">
        <w:rPr>
          <w:rFonts w:ascii="Gill Sans MT" w:hAnsi="Gill Sans MT" w:cstheme="minorHAnsi"/>
        </w:rPr>
        <w:t xml:space="preserve"> 1972</w:t>
      </w:r>
      <w:r w:rsidR="00612C5B" w:rsidRPr="003F30E4">
        <w:rPr>
          <w:rFonts w:ascii="Gill Sans MT" w:hAnsi="Gill Sans MT" w:cstheme="minorHAnsi"/>
        </w:rPr>
        <w:t xml:space="preserve"> for a variety of actions, including being able </w:t>
      </w:r>
      <w:r w:rsidRPr="003F30E4">
        <w:rPr>
          <w:rFonts w:ascii="Gill Sans MT" w:hAnsi="Gill Sans MT" w:cstheme="minorHAnsi"/>
        </w:rPr>
        <w:t xml:space="preserve">to secure </w:t>
      </w:r>
      <w:r w:rsidR="00612C5B" w:rsidRPr="003F30E4">
        <w:rPr>
          <w:rFonts w:ascii="Gill Sans MT" w:hAnsi="Gill Sans MT" w:cstheme="minorHAnsi"/>
        </w:rPr>
        <w:t xml:space="preserve">these </w:t>
      </w:r>
      <w:r w:rsidRPr="003F30E4">
        <w:rPr>
          <w:rFonts w:ascii="Gill Sans MT" w:eastAsia="Arial" w:hAnsi="Gill Sans MT" w:cstheme="minorHAnsi"/>
          <w:lang w:eastAsia="en-GB"/>
        </w:rPr>
        <w:t xml:space="preserve">recreational </w:t>
      </w:r>
      <w:r w:rsidRPr="003F30E4">
        <w:rPr>
          <w:rFonts w:ascii="Gill Sans MT" w:eastAsia="Arial" w:hAnsi="Gill Sans MT" w:cstheme="minorHAnsi"/>
          <w:color w:val="000000"/>
          <w:lang w:eastAsia="en-GB"/>
        </w:rPr>
        <w:t>impacts mitigation contribution</w:t>
      </w:r>
      <w:r w:rsidR="00612C5B" w:rsidRPr="003F30E4">
        <w:rPr>
          <w:rFonts w:ascii="Gill Sans MT" w:eastAsia="Arial" w:hAnsi="Gill Sans MT" w:cstheme="minorHAnsi"/>
          <w:color w:val="000000"/>
          <w:lang w:eastAsia="en-GB"/>
        </w:rPr>
        <w:t>s.</w:t>
      </w:r>
      <w:r w:rsidR="008054AB">
        <w:rPr>
          <w:rFonts w:ascii="Gill Sans MT" w:eastAsia="Arial" w:hAnsi="Gill Sans MT" w:cstheme="minorHAnsi"/>
          <w:color w:val="000000"/>
          <w:lang w:eastAsia="en-GB"/>
        </w:rPr>
        <w:t xml:space="preserve"> </w:t>
      </w:r>
      <w:r w:rsidR="00EA2211">
        <w:rPr>
          <w:rFonts w:ascii="Gill Sans MT" w:hAnsi="Gill Sans MT" w:cstheme="minorHAnsi"/>
        </w:rPr>
        <w:t>T</w:t>
      </w:r>
      <w:r w:rsidR="00612C5B" w:rsidRPr="003F30E4">
        <w:rPr>
          <w:rFonts w:ascii="Gill Sans MT" w:hAnsi="Gill Sans MT" w:cstheme="minorHAnsi"/>
        </w:rPr>
        <w:t xml:space="preserve">emplate draft s.111 </w:t>
      </w:r>
      <w:r w:rsidR="00696726" w:rsidRPr="003F30E4">
        <w:rPr>
          <w:rFonts w:ascii="Gill Sans MT" w:hAnsi="Gill Sans MT" w:cstheme="minorHAnsi"/>
        </w:rPr>
        <w:t>A</w:t>
      </w:r>
      <w:r w:rsidR="00612C5B" w:rsidRPr="003F30E4">
        <w:rPr>
          <w:rFonts w:ascii="Gill Sans MT" w:hAnsi="Gill Sans MT" w:cstheme="minorHAnsi"/>
        </w:rPr>
        <w:t>greement</w:t>
      </w:r>
      <w:r w:rsidR="00EA2211">
        <w:rPr>
          <w:rFonts w:ascii="Gill Sans MT" w:hAnsi="Gill Sans MT" w:cstheme="minorHAnsi"/>
        </w:rPr>
        <w:t>s are</w:t>
      </w:r>
      <w:r w:rsidR="00612C5B" w:rsidRPr="003F30E4">
        <w:rPr>
          <w:rFonts w:ascii="Gill Sans MT" w:hAnsi="Gill Sans MT" w:cstheme="minorHAnsi"/>
        </w:rPr>
        <w:t xml:space="preserve"> available on the Council’s web-site and can be downloaded</w:t>
      </w:r>
      <w:r w:rsidR="008054AB">
        <w:rPr>
          <w:rFonts w:ascii="Gill Sans MT" w:hAnsi="Gill Sans MT" w:cstheme="minorHAnsi"/>
        </w:rPr>
        <w:t xml:space="preserve"> or completed digitally</w:t>
      </w:r>
      <w:r w:rsidR="00612C5B" w:rsidRPr="003F30E4">
        <w:rPr>
          <w:rFonts w:ascii="Gill Sans MT" w:hAnsi="Gill Sans MT" w:cstheme="minorHAnsi"/>
        </w:rPr>
        <w:t>.</w:t>
      </w:r>
    </w:p>
    <w:p w14:paraId="79496160" w14:textId="77777777" w:rsidR="00612C5B" w:rsidRPr="003F30E4" w:rsidRDefault="00612C5B" w:rsidP="003F30E4">
      <w:pPr>
        <w:spacing w:after="0"/>
        <w:rPr>
          <w:rFonts w:ascii="Gill Sans MT" w:hAnsi="Gill Sans MT" w:cstheme="minorHAnsi"/>
        </w:rPr>
      </w:pPr>
    </w:p>
    <w:p w14:paraId="0F298A34" w14:textId="77777777" w:rsidR="00612C5B" w:rsidRDefault="003A3B8D" w:rsidP="003F30E4">
      <w:pPr>
        <w:spacing w:after="0"/>
        <w:rPr>
          <w:rFonts w:ascii="Gill Sans MT" w:hAnsi="Gill Sans MT" w:cstheme="minorHAnsi"/>
          <w:b/>
        </w:rPr>
      </w:pPr>
      <w:r w:rsidRPr="00103A83">
        <w:rPr>
          <w:rFonts w:ascii="Gill Sans MT" w:hAnsi="Gill Sans MT" w:cstheme="minorHAnsi"/>
          <w:b/>
        </w:rPr>
        <w:t xml:space="preserve">Guidance </w:t>
      </w:r>
      <w:r w:rsidR="00B52A4C" w:rsidRPr="00103A83">
        <w:rPr>
          <w:rFonts w:ascii="Gill Sans MT" w:hAnsi="Gill Sans MT" w:cstheme="minorHAnsi"/>
          <w:b/>
        </w:rPr>
        <w:t>Notes</w:t>
      </w:r>
      <w:r w:rsidRPr="00103A83">
        <w:rPr>
          <w:rFonts w:ascii="Gill Sans MT" w:hAnsi="Gill Sans MT" w:cstheme="minorHAnsi"/>
          <w:b/>
        </w:rPr>
        <w:t xml:space="preserve"> </w:t>
      </w:r>
    </w:p>
    <w:p w14:paraId="47A796C7" w14:textId="77777777" w:rsidR="00B30B44" w:rsidRPr="00103A83" w:rsidRDefault="00B30B44" w:rsidP="003F30E4">
      <w:pPr>
        <w:spacing w:after="0"/>
        <w:rPr>
          <w:rFonts w:ascii="Gill Sans MT" w:hAnsi="Gill Sans MT" w:cstheme="minorHAnsi"/>
          <w:b/>
        </w:rPr>
      </w:pPr>
    </w:p>
    <w:p w14:paraId="03501861" w14:textId="77777777" w:rsidR="00612C5B" w:rsidRPr="00B52A4C" w:rsidRDefault="00612C5B" w:rsidP="003F30E4">
      <w:pPr>
        <w:spacing w:after="0"/>
        <w:rPr>
          <w:rFonts w:ascii="Gill Sans MT" w:eastAsia="Arial" w:hAnsi="Gill Sans MT" w:cstheme="minorHAnsi"/>
          <w:i/>
          <w:color w:val="000000"/>
          <w:lang w:eastAsia="en-GB"/>
        </w:rPr>
      </w:pPr>
      <w:r w:rsidRPr="00B52A4C">
        <w:rPr>
          <w:rFonts w:ascii="Gill Sans MT" w:eastAsia="Arial" w:hAnsi="Gill Sans MT" w:cstheme="minorHAnsi"/>
          <w:i/>
          <w:color w:val="000000"/>
          <w:lang w:eastAsia="en-GB"/>
        </w:rPr>
        <w:t>Application reference number</w:t>
      </w:r>
    </w:p>
    <w:p w14:paraId="32C3EAAD" w14:textId="77777777" w:rsidR="00612C5B" w:rsidRPr="003F30E4" w:rsidRDefault="00612C5B" w:rsidP="003F30E4">
      <w:pPr>
        <w:spacing w:after="0"/>
        <w:ind w:left="720"/>
        <w:rPr>
          <w:rFonts w:ascii="Gill Sans MT" w:eastAsia="Arial" w:hAnsi="Gill Sans MT" w:cstheme="minorHAnsi"/>
          <w:color w:val="000000"/>
          <w:lang w:eastAsia="en-GB"/>
        </w:rPr>
      </w:pPr>
      <w:r w:rsidRPr="003F30E4">
        <w:rPr>
          <w:rFonts w:ascii="Gill Sans MT" w:eastAsia="Arial" w:hAnsi="Gill Sans MT" w:cstheme="minorHAnsi"/>
          <w:color w:val="000000"/>
          <w:lang w:eastAsia="en-GB"/>
        </w:rPr>
        <w:t>The reference provided by the Council is in the format – AA/BBBBB/CCC</w:t>
      </w:r>
    </w:p>
    <w:p w14:paraId="210EB37D" w14:textId="77777777" w:rsidR="00612C5B" w:rsidRPr="003F30E4" w:rsidRDefault="00612C5B" w:rsidP="003F30E4">
      <w:pPr>
        <w:spacing w:after="0"/>
        <w:ind w:left="1440"/>
        <w:rPr>
          <w:rFonts w:ascii="Gill Sans MT" w:eastAsia="Arial" w:hAnsi="Gill Sans MT" w:cstheme="minorHAnsi"/>
          <w:color w:val="000000"/>
          <w:lang w:eastAsia="en-GB"/>
        </w:rPr>
      </w:pPr>
      <w:r w:rsidRPr="003F30E4">
        <w:rPr>
          <w:rFonts w:ascii="Gill Sans MT" w:eastAsia="Arial" w:hAnsi="Gill Sans MT" w:cstheme="minorHAnsi"/>
          <w:color w:val="000000"/>
          <w:lang w:eastAsia="en-GB"/>
        </w:rPr>
        <w:t>AA – the year the application is submitted</w:t>
      </w:r>
    </w:p>
    <w:p w14:paraId="4C087536" w14:textId="77777777" w:rsidR="00612C5B" w:rsidRPr="003F30E4" w:rsidRDefault="00612C5B" w:rsidP="003F30E4">
      <w:pPr>
        <w:spacing w:after="0"/>
        <w:ind w:left="1440"/>
        <w:rPr>
          <w:rFonts w:ascii="Gill Sans MT" w:eastAsia="Arial" w:hAnsi="Gill Sans MT" w:cstheme="minorHAnsi"/>
          <w:color w:val="000000"/>
          <w:lang w:eastAsia="en-GB"/>
        </w:rPr>
      </w:pPr>
      <w:r w:rsidRPr="003F30E4">
        <w:rPr>
          <w:rFonts w:ascii="Gill Sans MT" w:eastAsia="Arial" w:hAnsi="Gill Sans MT" w:cstheme="minorHAnsi"/>
          <w:color w:val="000000"/>
          <w:lang w:eastAsia="en-GB"/>
        </w:rPr>
        <w:t>BBBBB- unique reference number</w:t>
      </w:r>
    </w:p>
    <w:p w14:paraId="7B85784C" w14:textId="77777777" w:rsidR="00612C5B" w:rsidRPr="003F30E4" w:rsidRDefault="00612C5B" w:rsidP="003F30E4">
      <w:pPr>
        <w:spacing w:after="0"/>
        <w:ind w:left="1440"/>
        <w:rPr>
          <w:rFonts w:ascii="Gill Sans MT" w:eastAsia="Arial" w:hAnsi="Gill Sans MT" w:cstheme="minorHAnsi"/>
          <w:color w:val="000000"/>
          <w:lang w:eastAsia="en-GB"/>
        </w:rPr>
      </w:pPr>
      <w:r w:rsidRPr="003F30E4">
        <w:rPr>
          <w:rFonts w:ascii="Gill Sans MT" w:eastAsia="Arial" w:hAnsi="Gill Sans MT" w:cstheme="minorHAnsi"/>
          <w:color w:val="000000"/>
          <w:lang w:eastAsia="en-GB"/>
        </w:rPr>
        <w:t>CCC – application type e.g. OUT – outline application.</w:t>
      </w:r>
    </w:p>
    <w:p w14:paraId="4A64FA17" w14:textId="77777777" w:rsidR="00612C5B" w:rsidRDefault="00612C5B" w:rsidP="003F30E4">
      <w:pPr>
        <w:spacing w:after="0"/>
        <w:ind w:left="720"/>
        <w:rPr>
          <w:rFonts w:ascii="Gill Sans MT" w:eastAsia="Arial" w:hAnsi="Gill Sans MT" w:cstheme="minorHAnsi"/>
          <w:color w:val="000000"/>
          <w:lang w:eastAsia="en-GB"/>
        </w:rPr>
      </w:pPr>
      <w:r w:rsidRPr="003F30E4">
        <w:rPr>
          <w:rFonts w:ascii="Gill Sans MT" w:eastAsia="Arial" w:hAnsi="Gill Sans MT" w:cstheme="minorHAnsi"/>
          <w:color w:val="000000"/>
          <w:lang w:eastAsia="en-GB"/>
        </w:rPr>
        <w:t>If you have submitted the application online and have not yet received a Council application number you can add the reference number provided by the Planning Portal.</w:t>
      </w:r>
    </w:p>
    <w:p w14:paraId="1EDB0F36" w14:textId="77777777" w:rsidR="00B30B44" w:rsidRPr="003F30E4" w:rsidRDefault="00B30B44" w:rsidP="003F30E4">
      <w:pPr>
        <w:spacing w:after="0"/>
        <w:ind w:left="720"/>
        <w:rPr>
          <w:rFonts w:ascii="Gill Sans MT" w:eastAsia="Arial" w:hAnsi="Gill Sans MT" w:cstheme="minorHAnsi"/>
          <w:color w:val="000000"/>
          <w:lang w:eastAsia="en-GB"/>
        </w:rPr>
      </w:pPr>
    </w:p>
    <w:p w14:paraId="54E34FB3" w14:textId="77777777" w:rsidR="009B69BA" w:rsidRPr="00103A83" w:rsidRDefault="009B69BA" w:rsidP="009B69BA">
      <w:pPr>
        <w:spacing w:after="0"/>
        <w:rPr>
          <w:rFonts w:ascii="Gill Sans MT" w:hAnsi="Gill Sans MT" w:cstheme="minorHAnsi"/>
          <w:i/>
        </w:rPr>
      </w:pPr>
      <w:r w:rsidRPr="00103A83">
        <w:rPr>
          <w:rFonts w:ascii="Gill Sans MT" w:hAnsi="Gill Sans MT" w:cstheme="minorHAnsi"/>
          <w:i/>
        </w:rPr>
        <w:t xml:space="preserve">Address of property </w:t>
      </w:r>
    </w:p>
    <w:p w14:paraId="2F757200" w14:textId="77777777" w:rsidR="009B69BA" w:rsidRDefault="009B69BA" w:rsidP="009B69BA">
      <w:pPr>
        <w:spacing w:after="0"/>
        <w:ind w:left="720"/>
        <w:rPr>
          <w:rFonts w:ascii="Gill Sans MT" w:hAnsi="Gill Sans MT" w:cstheme="minorHAnsi"/>
        </w:rPr>
      </w:pPr>
      <w:r w:rsidRPr="00103A83">
        <w:rPr>
          <w:rFonts w:ascii="Gill Sans MT" w:hAnsi="Gill Sans MT" w:cstheme="minorHAnsi"/>
        </w:rPr>
        <w:t>This should match the site address on the planning application form</w:t>
      </w:r>
    </w:p>
    <w:p w14:paraId="47A33A06" w14:textId="77777777" w:rsidR="00B30B44" w:rsidRPr="00103A83" w:rsidRDefault="00B30B44" w:rsidP="009B69BA">
      <w:pPr>
        <w:spacing w:after="0"/>
        <w:ind w:left="720"/>
        <w:rPr>
          <w:rFonts w:ascii="Gill Sans MT" w:hAnsi="Gill Sans MT" w:cstheme="minorHAnsi"/>
        </w:rPr>
      </w:pPr>
    </w:p>
    <w:p w14:paraId="5BF5D1B8" w14:textId="77777777" w:rsidR="00612C5B" w:rsidRPr="00103A83" w:rsidRDefault="00612C5B" w:rsidP="003F30E4">
      <w:pPr>
        <w:spacing w:after="0"/>
        <w:rPr>
          <w:rFonts w:ascii="Gill Sans MT" w:hAnsi="Gill Sans MT" w:cstheme="minorHAnsi"/>
          <w:i/>
        </w:rPr>
      </w:pPr>
      <w:r w:rsidRPr="00103A83">
        <w:rPr>
          <w:rFonts w:ascii="Gill Sans MT" w:hAnsi="Gill Sans MT" w:cstheme="minorHAnsi"/>
          <w:i/>
        </w:rPr>
        <w:t>Description of development</w:t>
      </w:r>
    </w:p>
    <w:p w14:paraId="007B5C02" w14:textId="77777777" w:rsidR="00612C5B" w:rsidRDefault="009871C9" w:rsidP="003F30E4">
      <w:pPr>
        <w:spacing w:after="0"/>
        <w:ind w:left="720"/>
        <w:rPr>
          <w:rFonts w:ascii="Gill Sans MT" w:hAnsi="Gill Sans MT" w:cstheme="minorHAnsi"/>
        </w:rPr>
      </w:pPr>
      <w:r w:rsidRPr="00103A83">
        <w:rPr>
          <w:rFonts w:ascii="Gill Sans MT" w:hAnsi="Gill Sans MT" w:cstheme="minorHAnsi"/>
        </w:rPr>
        <w:t>T</w:t>
      </w:r>
      <w:r w:rsidR="00612C5B" w:rsidRPr="00103A83">
        <w:rPr>
          <w:rFonts w:ascii="Gill Sans MT" w:hAnsi="Gill Sans MT" w:cstheme="minorHAnsi"/>
        </w:rPr>
        <w:t xml:space="preserve">his should match the description of development on the planning application form. </w:t>
      </w:r>
    </w:p>
    <w:p w14:paraId="17857C3D" w14:textId="77777777" w:rsidR="00B30B44" w:rsidRDefault="00B30B44" w:rsidP="003F30E4">
      <w:pPr>
        <w:spacing w:after="0"/>
        <w:ind w:left="720"/>
        <w:rPr>
          <w:rFonts w:ascii="Gill Sans MT" w:hAnsi="Gill Sans MT" w:cstheme="minorHAnsi"/>
        </w:rPr>
      </w:pPr>
    </w:p>
    <w:p w14:paraId="76FBFCE3" w14:textId="77777777" w:rsidR="00B30B44" w:rsidRPr="00B30B44" w:rsidRDefault="00B30B44" w:rsidP="00B30B44">
      <w:pPr>
        <w:pStyle w:val="NoSpacing"/>
        <w:rPr>
          <w:i/>
        </w:rPr>
      </w:pPr>
      <w:r w:rsidRPr="00B30B44">
        <w:rPr>
          <w:i/>
        </w:rPr>
        <w:t>Name of applicant</w:t>
      </w:r>
    </w:p>
    <w:p w14:paraId="3C2175CE" w14:textId="77777777" w:rsidR="00B30B44" w:rsidRPr="00034CA1" w:rsidRDefault="00B30B44" w:rsidP="0079150F">
      <w:pPr>
        <w:pStyle w:val="NoSpacing"/>
        <w:ind w:left="720"/>
        <w:rPr>
          <w:rFonts w:ascii="Gill Sans MT" w:hAnsi="Gill Sans MT" w:cstheme="minorHAnsi"/>
        </w:rPr>
      </w:pPr>
      <w:r w:rsidRPr="00034CA1">
        <w:rPr>
          <w:rFonts w:ascii="Gill Sans MT" w:hAnsi="Gill Sans MT" w:cstheme="minorHAnsi"/>
        </w:rPr>
        <w:t xml:space="preserve">This should be </w:t>
      </w:r>
      <w:r w:rsidRPr="00034CA1">
        <w:rPr>
          <w:rFonts w:ascii="Gill Sans MT" w:hAnsi="Gill Sans MT" w:cstheme="minorHAnsi"/>
          <w:b/>
        </w:rPr>
        <w:t>the applicant’s full name,</w:t>
      </w:r>
      <w:r w:rsidRPr="00034CA1">
        <w:rPr>
          <w:rFonts w:ascii="Gill Sans MT" w:hAnsi="Gill Sans MT" w:cstheme="minorHAnsi"/>
        </w:rPr>
        <w:t xml:space="preserve"> including surname and first name.  </w:t>
      </w:r>
      <w:r w:rsidR="0079150F" w:rsidRPr="00034CA1">
        <w:rPr>
          <w:rFonts w:ascii="Gill Sans MT" w:hAnsi="Gill Sans MT" w:cstheme="minorHAnsi"/>
        </w:rPr>
        <w:t>(Provision of full name is a requirement of our finance system.)</w:t>
      </w:r>
    </w:p>
    <w:p w14:paraId="6AB14044" w14:textId="77777777" w:rsidR="00B30B44" w:rsidRPr="00034CA1" w:rsidRDefault="00B30B44" w:rsidP="00B30B44">
      <w:pPr>
        <w:pStyle w:val="NoSpacing"/>
        <w:ind w:left="720"/>
        <w:rPr>
          <w:rFonts w:ascii="Gill Sans MT" w:hAnsi="Gill Sans MT" w:cstheme="minorHAnsi"/>
        </w:rPr>
      </w:pPr>
      <w:r w:rsidRPr="00034CA1">
        <w:rPr>
          <w:rFonts w:ascii="Gill Sans MT" w:hAnsi="Gill Sans MT" w:cstheme="minorHAnsi"/>
        </w:rPr>
        <w:t>If the applicant is a company, the company business name should be provided along with a named contact at that business.</w:t>
      </w:r>
    </w:p>
    <w:p w14:paraId="2CFB6824" w14:textId="77777777" w:rsidR="00B30B44" w:rsidRDefault="00B30B44" w:rsidP="003F30E4">
      <w:pPr>
        <w:spacing w:after="0"/>
        <w:ind w:left="720"/>
        <w:rPr>
          <w:rFonts w:ascii="Gill Sans MT" w:hAnsi="Gill Sans MT" w:cstheme="minorHAnsi"/>
        </w:rPr>
      </w:pPr>
    </w:p>
    <w:p w14:paraId="43D6F516" w14:textId="77777777" w:rsidR="003209E2" w:rsidRDefault="003209E2" w:rsidP="003209E2">
      <w:pPr>
        <w:spacing w:after="0"/>
        <w:rPr>
          <w:rFonts w:ascii="Gill Sans MT" w:hAnsi="Gill Sans MT" w:cstheme="minorHAnsi"/>
          <w:i/>
        </w:rPr>
      </w:pPr>
      <w:r>
        <w:rPr>
          <w:rFonts w:ascii="Gill Sans MT" w:hAnsi="Gill Sans MT" w:cstheme="minorHAnsi"/>
          <w:i/>
        </w:rPr>
        <w:t>Correspondence address of applicant</w:t>
      </w:r>
    </w:p>
    <w:p w14:paraId="288515D3" w14:textId="77777777" w:rsidR="00B30B44" w:rsidRDefault="003209E2" w:rsidP="00B30B44">
      <w:pPr>
        <w:ind w:left="720"/>
        <w:rPr>
          <w:rFonts w:ascii="Gill Sans MT" w:hAnsi="Gill Sans MT"/>
        </w:rPr>
      </w:pPr>
      <w:r>
        <w:rPr>
          <w:rFonts w:ascii="Gill Sans MT" w:hAnsi="Gill Sans MT" w:cstheme="minorHAnsi"/>
        </w:rPr>
        <w:t>This address will be used for correspondence relating to the s.111 agreement including for any invoices.</w:t>
      </w:r>
      <w:r w:rsidR="00B30B44">
        <w:rPr>
          <w:rFonts w:ascii="Gill Sans MT" w:hAnsi="Gill Sans MT"/>
        </w:rPr>
        <w:t xml:space="preserve">  It must be the correspondence address for the person(s) who will be legally responsible: </w:t>
      </w:r>
      <w:r w:rsidR="00B30B44" w:rsidRPr="00034CA1">
        <w:rPr>
          <w:rFonts w:ascii="Gill Sans MT" w:hAnsi="Gill Sans MT"/>
          <w:b/>
        </w:rPr>
        <w:t>a ‘care of’ (c/o) address cannot be accepted.</w:t>
      </w:r>
    </w:p>
    <w:p w14:paraId="14A30869" w14:textId="77777777" w:rsidR="00396842" w:rsidRPr="009064D3" w:rsidRDefault="00396842" w:rsidP="009064D3">
      <w:pPr>
        <w:pStyle w:val="NoSpacing"/>
        <w:rPr>
          <w:i/>
        </w:rPr>
      </w:pPr>
      <w:r w:rsidRPr="009064D3">
        <w:rPr>
          <w:i/>
        </w:rPr>
        <w:t>Number</w:t>
      </w:r>
      <w:r w:rsidRPr="009064D3">
        <w:rPr>
          <w:i/>
          <w:spacing w:val="1"/>
        </w:rPr>
        <w:t xml:space="preserve"> </w:t>
      </w:r>
      <w:r w:rsidRPr="009064D3">
        <w:rPr>
          <w:i/>
        </w:rPr>
        <w:t>of new</w:t>
      </w:r>
      <w:r w:rsidRPr="009064D3">
        <w:rPr>
          <w:i/>
          <w:spacing w:val="1"/>
        </w:rPr>
        <w:t xml:space="preserve"> r</w:t>
      </w:r>
      <w:r w:rsidRPr="009064D3">
        <w:rPr>
          <w:i/>
        </w:rPr>
        <w:t>e</w:t>
      </w:r>
      <w:r w:rsidRPr="009064D3">
        <w:rPr>
          <w:i/>
          <w:spacing w:val="-1"/>
        </w:rPr>
        <w:t>s</w:t>
      </w:r>
      <w:r w:rsidRPr="009064D3">
        <w:rPr>
          <w:i/>
        </w:rPr>
        <w:t>iden</w:t>
      </w:r>
      <w:r w:rsidRPr="009064D3">
        <w:rPr>
          <w:i/>
          <w:spacing w:val="-3"/>
        </w:rPr>
        <w:t>t</w:t>
      </w:r>
      <w:r w:rsidRPr="009064D3">
        <w:rPr>
          <w:i/>
        </w:rPr>
        <w:t>i</w:t>
      </w:r>
      <w:r w:rsidRPr="009064D3">
        <w:rPr>
          <w:i/>
          <w:spacing w:val="1"/>
        </w:rPr>
        <w:t>a</w:t>
      </w:r>
      <w:r w:rsidRPr="009064D3">
        <w:rPr>
          <w:i/>
        </w:rPr>
        <w:t>l / holid</w:t>
      </w:r>
      <w:r w:rsidRPr="009064D3">
        <w:rPr>
          <w:i/>
          <w:spacing w:val="1"/>
        </w:rPr>
        <w:t>a</w:t>
      </w:r>
      <w:r w:rsidRPr="009064D3">
        <w:rPr>
          <w:i/>
        </w:rPr>
        <w:t>y within relevant Zone of Influence (</w:t>
      </w:r>
      <w:proofErr w:type="spellStart"/>
      <w:r w:rsidRPr="009064D3">
        <w:rPr>
          <w:i/>
        </w:rPr>
        <w:t>ZoI</w:t>
      </w:r>
      <w:proofErr w:type="spellEnd"/>
      <w:r w:rsidRPr="009064D3">
        <w:rPr>
          <w:i/>
        </w:rPr>
        <w:t>)</w:t>
      </w:r>
    </w:p>
    <w:p w14:paraId="4D8665EE" w14:textId="77777777" w:rsidR="00396842" w:rsidRPr="00034CA1" w:rsidRDefault="00396842" w:rsidP="009064D3">
      <w:pPr>
        <w:pStyle w:val="NoSpacing"/>
        <w:ind w:left="720"/>
        <w:rPr>
          <w:rFonts w:ascii="Gill Sans MT" w:hAnsi="Gill Sans MT" w:cstheme="minorHAnsi"/>
        </w:rPr>
      </w:pPr>
      <w:r w:rsidRPr="00034CA1">
        <w:rPr>
          <w:rFonts w:ascii="Gill Sans MT" w:hAnsi="Gill Sans MT" w:cstheme="minorHAnsi"/>
        </w:rPr>
        <w:t xml:space="preserve">Ensure that you are clear within which </w:t>
      </w:r>
      <w:proofErr w:type="spellStart"/>
      <w:r w:rsidRPr="00034CA1">
        <w:rPr>
          <w:rFonts w:ascii="Gill Sans MT" w:hAnsi="Gill Sans MT" w:cstheme="minorHAnsi"/>
        </w:rPr>
        <w:t>ZoI</w:t>
      </w:r>
      <w:proofErr w:type="spellEnd"/>
      <w:r w:rsidRPr="00034CA1">
        <w:rPr>
          <w:rFonts w:ascii="Gill Sans MT" w:hAnsi="Gill Sans MT" w:cstheme="minorHAnsi"/>
        </w:rPr>
        <w:t xml:space="preserve"> your development is located – your Planning Case Officer should be able to provide this information and that you complete the correct s.111 agreement</w:t>
      </w:r>
    </w:p>
    <w:p w14:paraId="380147BC" w14:textId="77777777" w:rsidR="00612C5B" w:rsidRPr="003F30E4" w:rsidRDefault="00612C5B" w:rsidP="003F30E4">
      <w:pPr>
        <w:spacing w:after="0"/>
        <w:rPr>
          <w:rFonts w:ascii="Gill Sans MT" w:hAnsi="Gill Sans MT" w:cstheme="minorHAnsi"/>
        </w:rPr>
      </w:pPr>
    </w:p>
    <w:p w14:paraId="2429BCD5" w14:textId="77777777" w:rsidR="0023753D" w:rsidRPr="003F30E4" w:rsidRDefault="009871C9" w:rsidP="003F30E4">
      <w:pPr>
        <w:spacing w:after="0"/>
        <w:rPr>
          <w:rFonts w:ascii="Gill Sans MT" w:hAnsi="Gill Sans MT" w:cstheme="minorHAnsi"/>
          <w:b/>
        </w:rPr>
      </w:pPr>
      <w:r w:rsidRPr="003F30E4">
        <w:rPr>
          <w:rFonts w:ascii="Gill Sans MT" w:hAnsi="Gill Sans MT" w:cstheme="minorHAnsi"/>
          <w:b/>
        </w:rPr>
        <w:t>Signing the Agreement</w:t>
      </w:r>
    </w:p>
    <w:p w14:paraId="703E006E" w14:textId="77777777" w:rsidR="00612C5B" w:rsidRDefault="0023753D" w:rsidP="003F30E4">
      <w:pPr>
        <w:spacing w:after="0"/>
        <w:rPr>
          <w:rFonts w:ascii="Gill Sans MT" w:hAnsi="Gill Sans MT" w:cstheme="minorHAnsi"/>
        </w:rPr>
      </w:pPr>
      <w:r w:rsidRPr="003F30E4">
        <w:rPr>
          <w:rFonts w:ascii="Gill Sans MT" w:hAnsi="Gill Sans MT" w:cstheme="minorHAnsi"/>
        </w:rPr>
        <w:t xml:space="preserve">Please make sure you sign and date the </w:t>
      </w:r>
      <w:r w:rsidR="00696726" w:rsidRPr="003F30E4">
        <w:rPr>
          <w:rFonts w:ascii="Gill Sans MT" w:hAnsi="Gill Sans MT" w:cstheme="minorHAnsi"/>
        </w:rPr>
        <w:t>A</w:t>
      </w:r>
      <w:r w:rsidRPr="003F30E4">
        <w:rPr>
          <w:rFonts w:ascii="Gill Sans MT" w:hAnsi="Gill Sans MT" w:cstheme="minorHAnsi"/>
        </w:rPr>
        <w:t xml:space="preserve">greement </w:t>
      </w:r>
      <w:r w:rsidR="00612C5B" w:rsidRPr="003F30E4">
        <w:rPr>
          <w:rFonts w:ascii="Gill Sans MT" w:hAnsi="Gill Sans MT" w:cstheme="minorHAnsi"/>
        </w:rPr>
        <w:t>and return to the Case Officer for your application.</w:t>
      </w:r>
      <w:r w:rsidR="0054705B" w:rsidRPr="003F30E4">
        <w:rPr>
          <w:rFonts w:ascii="Gill Sans MT" w:hAnsi="Gill Sans MT" w:cstheme="minorHAnsi"/>
        </w:rPr>
        <w:t xml:space="preserve">  A digital signature is acceptable.</w:t>
      </w:r>
    </w:p>
    <w:p w14:paraId="15A37FFD" w14:textId="77777777" w:rsidR="00B52A4C" w:rsidRPr="00D61222" w:rsidRDefault="00B52A4C" w:rsidP="003F30E4">
      <w:pPr>
        <w:spacing w:after="0"/>
        <w:rPr>
          <w:rFonts w:ascii="Gill Sans MT" w:hAnsi="Gill Sans MT" w:cstheme="minorHAnsi"/>
        </w:rPr>
      </w:pPr>
    </w:p>
    <w:p w14:paraId="3C71C27C" w14:textId="77777777" w:rsidR="00454721" w:rsidRPr="00D61222" w:rsidRDefault="0023753D" w:rsidP="003F30E4">
      <w:pPr>
        <w:spacing w:after="0"/>
        <w:rPr>
          <w:rFonts w:ascii="Gill Sans MT" w:hAnsi="Gill Sans MT" w:cstheme="minorHAnsi"/>
        </w:rPr>
      </w:pPr>
      <w:r w:rsidRPr="00D61222">
        <w:rPr>
          <w:rFonts w:ascii="Gill Sans MT" w:hAnsi="Gill Sans MT" w:cstheme="minorHAnsi"/>
        </w:rPr>
        <w:t xml:space="preserve">Once the S111 </w:t>
      </w:r>
      <w:r w:rsidR="00696726" w:rsidRPr="00D61222">
        <w:rPr>
          <w:rFonts w:ascii="Gill Sans MT" w:hAnsi="Gill Sans MT" w:cstheme="minorHAnsi"/>
        </w:rPr>
        <w:t>A</w:t>
      </w:r>
      <w:r w:rsidRPr="00D61222">
        <w:rPr>
          <w:rFonts w:ascii="Gill Sans MT" w:hAnsi="Gill Sans MT" w:cstheme="minorHAnsi"/>
        </w:rPr>
        <w:t xml:space="preserve">greement has been completed and </w:t>
      </w:r>
      <w:r w:rsidR="00454721" w:rsidRPr="00D61222">
        <w:rPr>
          <w:rFonts w:ascii="Gill Sans MT" w:hAnsi="Gill Sans MT" w:cstheme="minorHAnsi"/>
        </w:rPr>
        <w:t xml:space="preserve">received </w:t>
      </w:r>
      <w:r w:rsidR="00D61222" w:rsidRPr="00D61222">
        <w:rPr>
          <w:rFonts w:ascii="Gill Sans MT" w:hAnsi="Gill Sans MT" w:cstheme="minorHAnsi"/>
        </w:rPr>
        <w:t>by the Council, you will be sent</w:t>
      </w:r>
      <w:r w:rsidR="00454721" w:rsidRPr="00D61222">
        <w:rPr>
          <w:rFonts w:ascii="Gill Sans MT" w:hAnsi="Gill Sans MT" w:cstheme="minorHAnsi"/>
        </w:rPr>
        <w:t xml:space="preserve"> an invoice which can be paid </w:t>
      </w:r>
      <w:r w:rsidR="00171F33" w:rsidRPr="00D61222">
        <w:rPr>
          <w:rFonts w:ascii="Gill Sans MT" w:hAnsi="Gill Sans MT" w:cstheme="minorHAnsi"/>
        </w:rPr>
        <w:t>online, via telephone or via BACS transfer. Further details regarding payment will be available on the invoice.</w:t>
      </w:r>
    </w:p>
    <w:p w14:paraId="733EE403" w14:textId="77777777" w:rsidR="00454721" w:rsidRPr="00D61222" w:rsidRDefault="00454721" w:rsidP="003F30E4">
      <w:pPr>
        <w:spacing w:after="0"/>
        <w:rPr>
          <w:rFonts w:ascii="Gill Sans MT" w:hAnsi="Gill Sans MT" w:cstheme="minorHAnsi"/>
        </w:rPr>
      </w:pPr>
    </w:p>
    <w:p w14:paraId="4EBE468B" w14:textId="77777777" w:rsidR="0023753D" w:rsidRPr="00D61222" w:rsidRDefault="00454721" w:rsidP="003F30E4">
      <w:pPr>
        <w:spacing w:after="0"/>
        <w:rPr>
          <w:rFonts w:ascii="Gill Sans MT" w:hAnsi="Gill Sans MT" w:cstheme="minorHAnsi"/>
        </w:rPr>
      </w:pPr>
      <w:r w:rsidRPr="00D61222">
        <w:rPr>
          <w:rFonts w:ascii="Gill Sans MT" w:hAnsi="Gill Sans MT" w:cstheme="minorHAnsi"/>
        </w:rPr>
        <w:t xml:space="preserve">Once </w:t>
      </w:r>
      <w:r w:rsidR="0023753D" w:rsidRPr="00D61222">
        <w:rPr>
          <w:rFonts w:ascii="Gill Sans MT" w:hAnsi="Gill Sans MT" w:cstheme="minorHAnsi"/>
        </w:rPr>
        <w:t xml:space="preserve">payment has cleared, you will be sent </w:t>
      </w:r>
      <w:r w:rsidR="00105FA2" w:rsidRPr="00D61222">
        <w:rPr>
          <w:rFonts w:ascii="Gill Sans MT" w:hAnsi="Gill Sans MT" w:cstheme="minorHAnsi"/>
        </w:rPr>
        <w:t>a copy of the</w:t>
      </w:r>
      <w:r w:rsidR="0023753D" w:rsidRPr="00D61222">
        <w:rPr>
          <w:rFonts w:ascii="Gill Sans MT" w:hAnsi="Gill Sans MT" w:cstheme="minorHAnsi"/>
        </w:rPr>
        <w:t xml:space="preserve"> S111 </w:t>
      </w:r>
      <w:r w:rsidR="00696726" w:rsidRPr="00D61222">
        <w:rPr>
          <w:rFonts w:ascii="Gill Sans MT" w:hAnsi="Gill Sans MT" w:cstheme="minorHAnsi"/>
        </w:rPr>
        <w:t>A</w:t>
      </w:r>
      <w:r w:rsidR="0023753D" w:rsidRPr="00D61222">
        <w:rPr>
          <w:rFonts w:ascii="Gill Sans MT" w:hAnsi="Gill Sans MT" w:cstheme="minorHAnsi"/>
        </w:rPr>
        <w:t>greement</w:t>
      </w:r>
      <w:r w:rsidR="00105FA2" w:rsidRPr="00D61222">
        <w:rPr>
          <w:rFonts w:ascii="Gill Sans MT" w:hAnsi="Gill Sans MT" w:cstheme="minorHAnsi"/>
        </w:rPr>
        <w:t>, signed by an Officer of the Council</w:t>
      </w:r>
      <w:r w:rsidR="0023753D" w:rsidRPr="00D61222">
        <w:rPr>
          <w:rFonts w:ascii="Gill Sans MT" w:hAnsi="Gill Sans MT" w:cstheme="minorHAnsi"/>
        </w:rPr>
        <w:t xml:space="preserve">. This is a legal </w:t>
      </w:r>
      <w:r w:rsidR="00696726" w:rsidRPr="00D61222">
        <w:rPr>
          <w:rFonts w:ascii="Gill Sans MT" w:hAnsi="Gill Sans MT" w:cstheme="minorHAnsi"/>
        </w:rPr>
        <w:t>A</w:t>
      </w:r>
      <w:r w:rsidR="0023753D" w:rsidRPr="00D61222">
        <w:rPr>
          <w:rFonts w:ascii="Gill Sans MT" w:hAnsi="Gill Sans MT" w:cstheme="minorHAnsi"/>
        </w:rPr>
        <w:t>greement and should be kept in a safe place.</w:t>
      </w:r>
    </w:p>
    <w:sectPr w:rsidR="0023753D" w:rsidRPr="00D61222" w:rsidSect="003F30E4">
      <w:footerReference w:type="default" r:id="rId9"/>
      <w:pgSz w:w="11906" w:h="16838"/>
      <w:pgMar w:top="1135"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07AAF" w14:textId="77777777" w:rsidR="00CD72F4" w:rsidRDefault="00CD72F4" w:rsidP="00025FF2">
      <w:pPr>
        <w:spacing w:after="0" w:line="240" w:lineRule="auto"/>
      </w:pPr>
      <w:r>
        <w:separator/>
      </w:r>
    </w:p>
  </w:endnote>
  <w:endnote w:type="continuationSeparator" w:id="0">
    <w:p w14:paraId="5101D83F" w14:textId="77777777" w:rsidR="00CD72F4" w:rsidRDefault="00CD72F4" w:rsidP="00025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5AF2" w14:textId="77777777" w:rsidR="003B2550" w:rsidRPr="003B2550" w:rsidRDefault="00CA7527">
    <w:pPr>
      <w:pStyle w:val="Footer"/>
      <w:rPr>
        <w:color w:val="BFBFBF" w:themeColor="background1" w:themeShade="BF"/>
        <w:sz w:val="20"/>
        <w:szCs w:val="20"/>
      </w:rPr>
    </w:pPr>
    <w:r>
      <w:rPr>
        <w:color w:val="BFBFBF" w:themeColor="background1" w:themeShade="BF"/>
        <w:sz w:val="20"/>
        <w:szCs w:val="20"/>
      </w:rPr>
      <w:t>Version 06/06/23</w:t>
    </w:r>
  </w:p>
  <w:p w14:paraId="46B7E123" w14:textId="77777777" w:rsidR="003B2550" w:rsidRDefault="003B25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37FEE" w14:textId="77777777" w:rsidR="00CD72F4" w:rsidRDefault="00CD72F4" w:rsidP="00025FF2">
      <w:pPr>
        <w:spacing w:after="0" w:line="240" w:lineRule="auto"/>
      </w:pPr>
      <w:r>
        <w:separator/>
      </w:r>
    </w:p>
  </w:footnote>
  <w:footnote w:type="continuationSeparator" w:id="0">
    <w:p w14:paraId="327E239D" w14:textId="77777777" w:rsidR="00CD72F4" w:rsidRDefault="00CD72F4" w:rsidP="00025FF2">
      <w:pPr>
        <w:spacing w:after="0" w:line="240" w:lineRule="auto"/>
      </w:pPr>
      <w:r>
        <w:continuationSeparator/>
      </w:r>
    </w:p>
  </w:footnote>
  <w:footnote w:id="1">
    <w:p w14:paraId="174EC16A" w14:textId="77777777" w:rsidR="0085547A" w:rsidRPr="003F30E4" w:rsidRDefault="0085547A" w:rsidP="0085547A">
      <w:pPr>
        <w:pStyle w:val="FootnoteText"/>
        <w:rPr>
          <w:rFonts w:ascii="Gill Sans MT" w:hAnsi="Gill Sans MT"/>
        </w:rPr>
      </w:pPr>
      <w:r>
        <w:rPr>
          <w:rStyle w:val="FootnoteReference"/>
        </w:rPr>
        <w:footnoteRef/>
      </w:r>
      <w:r>
        <w:t xml:space="preserve"> </w:t>
      </w:r>
      <w:hyperlink r:id="rId1" w:history="1">
        <w:r w:rsidRPr="00FE584F">
          <w:rPr>
            <w:rStyle w:val="Hyperlink"/>
          </w:rPr>
          <w:t>https://publications.naturalengland.org.uk/publication/6299293463871488</w:t>
        </w:r>
      </w:hyperlink>
      <w:r>
        <w:t xml:space="preserve"> </w:t>
      </w:r>
    </w:p>
  </w:footnote>
  <w:footnote w:id="2">
    <w:p w14:paraId="435EBFDF" w14:textId="77777777" w:rsidR="003F30E4" w:rsidRDefault="003F30E4">
      <w:pPr>
        <w:pStyle w:val="FootnoteText"/>
      </w:pPr>
      <w:r w:rsidRPr="003F30E4">
        <w:rPr>
          <w:rStyle w:val="FootnoteReference"/>
          <w:rFonts w:ascii="Gill Sans MT" w:hAnsi="Gill Sans MT"/>
        </w:rPr>
        <w:footnoteRef/>
      </w:r>
      <w:r w:rsidRPr="003F30E4">
        <w:rPr>
          <w:rFonts w:ascii="Gill Sans MT" w:hAnsi="Gill Sans MT"/>
        </w:rPr>
        <w:t xml:space="preserve"> </w:t>
      </w:r>
      <w:hyperlink r:id="rId2" w:history="1">
        <w:r w:rsidRPr="003F30E4">
          <w:rPr>
            <w:rStyle w:val="Hyperlink"/>
            <w:rFonts w:ascii="Gill Sans MT" w:hAnsi="Gill Sans MT"/>
          </w:rPr>
          <w:t>https://www.legislation.gov.uk/uksi/2017/1012/contents/made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F7F93"/>
    <w:multiLevelType w:val="hybridMultilevel"/>
    <w:tmpl w:val="1200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EC6048"/>
    <w:multiLevelType w:val="hybridMultilevel"/>
    <w:tmpl w:val="07AA6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EB79F0"/>
    <w:multiLevelType w:val="hybridMultilevel"/>
    <w:tmpl w:val="84948D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A4E484D"/>
    <w:multiLevelType w:val="hybridMultilevel"/>
    <w:tmpl w:val="0B589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903CBB"/>
    <w:multiLevelType w:val="hybridMultilevel"/>
    <w:tmpl w:val="3C444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D50323"/>
    <w:multiLevelType w:val="hybridMultilevel"/>
    <w:tmpl w:val="1430D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A86EB0"/>
    <w:multiLevelType w:val="hybridMultilevel"/>
    <w:tmpl w:val="7A105D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A53EC6"/>
    <w:multiLevelType w:val="hybridMultilevel"/>
    <w:tmpl w:val="F5E60F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2579927">
    <w:abstractNumId w:val="5"/>
  </w:num>
  <w:num w:numId="2" w16cid:durableId="1898121992">
    <w:abstractNumId w:val="7"/>
  </w:num>
  <w:num w:numId="3" w16cid:durableId="159001518">
    <w:abstractNumId w:val="6"/>
  </w:num>
  <w:num w:numId="4" w16cid:durableId="1556625757">
    <w:abstractNumId w:val="3"/>
  </w:num>
  <w:num w:numId="5" w16cid:durableId="2065829298">
    <w:abstractNumId w:val="0"/>
  </w:num>
  <w:num w:numId="6" w16cid:durableId="1914468569">
    <w:abstractNumId w:val="2"/>
  </w:num>
  <w:num w:numId="7" w16cid:durableId="237180560">
    <w:abstractNumId w:val="1"/>
  </w:num>
  <w:num w:numId="8" w16cid:durableId="202069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53D"/>
    <w:rsid w:val="00025FF2"/>
    <w:rsid w:val="00034CA1"/>
    <w:rsid w:val="000778A5"/>
    <w:rsid w:val="00077DE2"/>
    <w:rsid w:val="00103A83"/>
    <w:rsid w:val="00105FA2"/>
    <w:rsid w:val="00171F33"/>
    <w:rsid w:val="001A5361"/>
    <w:rsid w:val="001A5364"/>
    <w:rsid w:val="00205A83"/>
    <w:rsid w:val="00231784"/>
    <w:rsid w:val="0023753D"/>
    <w:rsid w:val="00281EB6"/>
    <w:rsid w:val="0028732A"/>
    <w:rsid w:val="00302809"/>
    <w:rsid w:val="003209E2"/>
    <w:rsid w:val="00396842"/>
    <w:rsid w:val="003A3B8D"/>
    <w:rsid w:val="003B2550"/>
    <w:rsid w:val="003F30E4"/>
    <w:rsid w:val="00454721"/>
    <w:rsid w:val="005053F4"/>
    <w:rsid w:val="005415CA"/>
    <w:rsid w:val="0054705B"/>
    <w:rsid w:val="00612C5B"/>
    <w:rsid w:val="00696726"/>
    <w:rsid w:val="007453E2"/>
    <w:rsid w:val="00786228"/>
    <w:rsid w:val="0079150F"/>
    <w:rsid w:val="007A4B20"/>
    <w:rsid w:val="008054AB"/>
    <w:rsid w:val="0085547A"/>
    <w:rsid w:val="008810D6"/>
    <w:rsid w:val="009064D3"/>
    <w:rsid w:val="00942F0D"/>
    <w:rsid w:val="009871C9"/>
    <w:rsid w:val="009B69BA"/>
    <w:rsid w:val="00AB121C"/>
    <w:rsid w:val="00B23C40"/>
    <w:rsid w:val="00B30B44"/>
    <w:rsid w:val="00B52A4C"/>
    <w:rsid w:val="00B93DCB"/>
    <w:rsid w:val="00BB0DB1"/>
    <w:rsid w:val="00C21AA0"/>
    <w:rsid w:val="00C30FEE"/>
    <w:rsid w:val="00CA7527"/>
    <w:rsid w:val="00CD72F4"/>
    <w:rsid w:val="00D61222"/>
    <w:rsid w:val="00DF6C94"/>
    <w:rsid w:val="00EA2211"/>
    <w:rsid w:val="00F2329A"/>
    <w:rsid w:val="00FD1AE8"/>
    <w:rsid w:val="00FF7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57D66"/>
  <w15:chartTrackingRefBased/>
  <w15:docId w15:val="{54982E08-5109-443B-BC6D-E36B625CE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5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0FEE"/>
    <w:pPr>
      <w:autoSpaceDE w:val="0"/>
      <w:autoSpaceDN w:val="0"/>
      <w:adjustRightInd w:val="0"/>
      <w:spacing w:after="0" w:line="240" w:lineRule="auto"/>
    </w:pPr>
    <w:rPr>
      <w:rFonts w:ascii="Open Sans" w:hAnsi="Open Sans" w:cs="Open Sans"/>
      <w:color w:val="000000"/>
      <w:sz w:val="24"/>
      <w:szCs w:val="24"/>
    </w:rPr>
  </w:style>
  <w:style w:type="paragraph" w:styleId="ListParagraph">
    <w:name w:val="List Paragraph"/>
    <w:basedOn w:val="Normal"/>
    <w:uiPriority w:val="34"/>
    <w:qFormat/>
    <w:rsid w:val="00C30FEE"/>
    <w:pPr>
      <w:ind w:left="720"/>
      <w:contextualSpacing/>
    </w:pPr>
  </w:style>
  <w:style w:type="character" w:styleId="CommentReference">
    <w:name w:val="annotation reference"/>
    <w:basedOn w:val="DefaultParagraphFont"/>
    <w:uiPriority w:val="99"/>
    <w:semiHidden/>
    <w:unhideWhenUsed/>
    <w:rsid w:val="00105FA2"/>
    <w:rPr>
      <w:sz w:val="16"/>
      <w:szCs w:val="16"/>
    </w:rPr>
  </w:style>
  <w:style w:type="paragraph" w:styleId="CommentText">
    <w:name w:val="annotation text"/>
    <w:basedOn w:val="Normal"/>
    <w:link w:val="CommentTextChar"/>
    <w:uiPriority w:val="99"/>
    <w:semiHidden/>
    <w:unhideWhenUsed/>
    <w:rsid w:val="00105FA2"/>
    <w:pPr>
      <w:spacing w:line="240" w:lineRule="auto"/>
    </w:pPr>
    <w:rPr>
      <w:sz w:val="20"/>
      <w:szCs w:val="20"/>
    </w:rPr>
  </w:style>
  <w:style w:type="character" w:customStyle="1" w:styleId="CommentTextChar">
    <w:name w:val="Comment Text Char"/>
    <w:basedOn w:val="DefaultParagraphFont"/>
    <w:link w:val="CommentText"/>
    <w:uiPriority w:val="99"/>
    <w:semiHidden/>
    <w:rsid w:val="00105FA2"/>
    <w:rPr>
      <w:sz w:val="20"/>
      <w:szCs w:val="20"/>
    </w:rPr>
  </w:style>
  <w:style w:type="paragraph" w:styleId="CommentSubject">
    <w:name w:val="annotation subject"/>
    <w:basedOn w:val="CommentText"/>
    <w:next w:val="CommentText"/>
    <w:link w:val="CommentSubjectChar"/>
    <w:uiPriority w:val="99"/>
    <w:semiHidden/>
    <w:unhideWhenUsed/>
    <w:rsid w:val="00105FA2"/>
    <w:rPr>
      <w:b/>
      <w:bCs/>
    </w:rPr>
  </w:style>
  <w:style w:type="character" w:customStyle="1" w:styleId="CommentSubjectChar">
    <w:name w:val="Comment Subject Char"/>
    <w:basedOn w:val="CommentTextChar"/>
    <w:link w:val="CommentSubject"/>
    <w:uiPriority w:val="99"/>
    <w:semiHidden/>
    <w:rsid w:val="00105FA2"/>
    <w:rPr>
      <w:b/>
      <w:bCs/>
      <w:sz w:val="20"/>
      <w:szCs w:val="20"/>
    </w:rPr>
  </w:style>
  <w:style w:type="paragraph" w:styleId="BalloonText">
    <w:name w:val="Balloon Text"/>
    <w:basedOn w:val="Normal"/>
    <w:link w:val="BalloonTextChar"/>
    <w:uiPriority w:val="99"/>
    <w:semiHidden/>
    <w:unhideWhenUsed/>
    <w:rsid w:val="00105F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FA2"/>
    <w:rPr>
      <w:rFonts w:ascii="Segoe UI" w:hAnsi="Segoe UI" w:cs="Segoe UI"/>
      <w:sz w:val="18"/>
      <w:szCs w:val="18"/>
    </w:rPr>
  </w:style>
  <w:style w:type="paragraph" w:styleId="EndnoteText">
    <w:name w:val="endnote text"/>
    <w:basedOn w:val="Normal"/>
    <w:link w:val="EndnoteTextChar"/>
    <w:uiPriority w:val="99"/>
    <w:semiHidden/>
    <w:unhideWhenUsed/>
    <w:rsid w:val="00025FF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25FF2"/>
    <w:rPr>
      <w:sz w:val="20"/>
      <w:szCs w:val="20"/>
    </w:rPr>
  </w:style>
  <w:style w:type="character" w:styleId="EndnoteReference">
    <w:name w:val="endnote reference"/>
    <w:basedOn w:val="DefaultParagraphFont"/>
    <w:uiPriority w:val="99"/>
    <w:semiHidden/>
    <w:unhideWhenUsed/>
    <w:rsid w:val="00025FF2"/>
    <w:rPr>
      <w:vertAlign w:val="superscript"/>
    </w:rPr>
  </w:style>
  <w:style w:type="character" w:styleId="Hyperlink">
    <w:name w:val="Hyperlink"/>
    <w:basedOn w:val="DefaultParagraphFont"/>
    <w:uiPriority w:val="99"/>
    <w:unhideWhenUsed/>
    <w:rsid w:val="00025FF2"/>
    <w:rPr>
      <w:color w:val="0000FF"/>
      <w:u w:val="single"/>
    </w:rPr>
  </w:style>
  <w:style w:type="paragraph" w:styleId="FootnoteText">
    <w:name w:val="footnote text"/>
    <w:basedOn w:val="Normal"/>
    <w:link w:val="FootnoteTextChar"/>
    <w:uiPriority w:val="99"/>
    <w:semiHidden/>
    <w:unhideWhenUsed/>
    <w:rsid w:val="003F30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30E4"/>
    <w:rPr>
      <w:sz w:val="20"/>
      <w:szCs w:val="20"/>
    </w:rPr>
  </w:style>
  <w:style w:type="character" w:styleId="FootnoteReference">
    <w:name w:val="footnote reference"/>
    <w:basedOn w:val="DefaultParagraphFont"/>
    <w:uiPriority w:val="99"/>
    <w:semiHidden/>
    <w:unhideWhenUsed/>
    <w:rsid w:val="003F30E4"/>
    <w:rPr>
      <w:vertAlign w:val="superscript"/>
    </w:rPr>
  </w:style>
  <w:style w:type="paragraph" w:styleId="NoSpacing">
    <w:name w:val="No Spacing"/>
    <w:uiPriority w:val="1"/>
    <w:qFormat/>
    <w:rsid w:val="00B30B44"/>
    <w:pPr>
      <w:spacing w:after="0" w:line="240" w:lineRule="auto"/>
    </w:pPr>
  </w:style>
  <w:style w:type="paragraph" w:styleId="Header">
    <w:name w:val="header"/>
    <w:basedOn w:val="Normal"/>
    <w:link w:val="HeaderChar"/>
    <w:uiPriority w:val="99"/>
    <w:unhideWhenUsed/>
    <w:rsid w:val="003B25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2550"/>
  </w:style>
  <w:style w:type="paragraph" w:styleId="Footer">
    <w:name w:val="footer"/>
    <w:basedOn w:val="Normal"/>
    <w:link w:val="FooterChar"/>
    <w:uiPriority w:val="99"/>
    <w:unhideWhenUsed/>
    <w:rsid w:val="003B25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2550"/>
  </w:style>
  <w:style w:type="character" w:styleId="FollowedHyperlink">
    <w:name w:val="FollowedHyperlink"/>
    <w:basedOn w:val="DefaultParagraphFont"/>
    <w:uiPriority w:val="99"/>
    <w:semiHidden/>
    <w:unhideWhenUsed/>
    <w:rsid w:val="008554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580076">
      <w:bodyDiv w:val="1"/>
      <w:marLeft w:val="0"/>
      <w:marRight w:val="0"/>
      <w:marTop w:val="0"/>
      <w:marBottom w:val="0"/>
      <w:divBdr>
        <w:top w:val="none" w:sz="0" w:space="0" w:color="auto"/>
        <w:left w:val="none" w:sz="0" w:space="0" w:color="auto"/>
        <w:bottom w:val="none" w:sz="0" w:space="0" w:color="auto"/>
        <w:right w:val="none" w:sz="0" w:space="0" w:color="auto"/>
      </w:divBdr>
    </w:div>
    <w:div w:id="509375377">
      <w:bodyDiv w:val="1"/>
      <w:marLeft w:val="0"/>
      <w:marRight w:val="0"/>
      <w:marTop w:val="0"/>
      <w:marBottom w:val="0"/>
      <w:divBdr>
        <w:top w:val="none" w:sz="0" w:space="0" w:color="auto"/>
        <w:left w:val="none" w:sz="0" w:space="0" w:color="auto"/>
        <w:bottom w:val="none" w:sz="0" w:space="0" w:color="auto"/>
        <w:right w:val="none" w:sz="0" w:space="0" w:color="auto"/>
      </w:divBdr>
    </w:div>
    <w:div w:id="76757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legislation.gov.uk/uksi/2017/1012/contents/made" TargetMode="External"/><Relationship Id="rId1" Type="http://schemas.openxmlformats.org/officeDocument/2006/relationships/hyperlink" Target="https://publications.naturalengland.org.uk/publication/62992934638714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877CF-A25E-4EA4-864D-00ABFD684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1171</Words>
  <Characters>6680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s111 Guidance Note  Cotswold Beechwood SAC</vt:lpstr>
    </vt:vector>
  </TitlesOfParts>
  <Company>220ICT.NET</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s111 Guidance Note  Cotswold Beechwood SAC</dc:title>
  <dc:subject>s111 Guidance Note  Cotswold Beechwood SAC</dc:subject>
  <dc:creator>Cotwold District Council</dc:creator>
  <cp:keywords/>
  <dc:description/>
  <cp:lastModifiedBy>Sophia Price</cp:lastModifiedBy>
  <cp:revision>2</cp:revision>
  <cp:lastPrinted>2022-07-20T09:13:00Z</cp:lastPrinted>
  <dcterms:created xsi:type="dcterms:W3CDTF">2024-09-17T11:13:00Z</dcterms:created>
  <dcterms:modified xsi:type="dcterms:W3CDTF">2024-09-17T11:13:00Z</dcterms:modified>
</cp:coreProperties>
</file>